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1D" w:rsidRDefault="0088081D" w:rsidP="0088081D">
      <w:pPr>
        <w:adjustRightInd w:val="0"/>
        <w:snapToGrid w:val="0"/>
        <w:spacing w:line="600" w:lineRule="exac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方正黑体_GBK" w:hAnsi="方正黑体_GBK"/>
          <w:color w:val="000000"/>
          <w:sz w:val="32"/>
          <w:szCs w:val="32"/>
        </w:rPr>
        <w:t>附件</w:t>
      </w:r>
      <w:r>
        <w:rPr>
          <w:rFonts w:ascii="方正黑体_GBK" w:hAnsi="方正黑体_GBK" w:hint="eastAsia"/>
          <w:color w:val="000000"/>
          <w:sz w:val="32"/>
          <w:szCs w:val="32"/>
        </w:rPr>
        <w:t>2</w:t>
      </w:r>
    </w:p>
    <w:p w:rsidR="0088081D" w:rsidRDefault="0088081D" w:rsidP="0088081D">
      <w:pPr>
        <w:spacing w:line="540" w:lineRule="exact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</w:rPr>
        <w:t xml:space="preserve">           </w:t>
      </w:r>
      <w:r>
        <w:rPr>
          <w:rFonts w:ascii="方正小标宋_GBK" w:eastAsia="方正小标宋_GBK" w:hAnsi="Times New Roman" w:hint="eastAsia"/>
          <w:color w:val="000000"/>
          <w:kern w:val="0"/>
          <w:sz w:val="44"/>
          <w:szCs w:val="44"/>
        </w:rPr>
        <w:t>部分定向申报单位名单</w:t>
      </w:r>
    </w:p>
    <w:p w:rsidR="0088081D" w:rsidRPr="00560691" w:rsidRDefault="0088081D" w:rsidP="0088081D">
      <w:pPr>
        <w:snapToGrid w:val="0"/>
        <w:spacing w:line="620" w:lineRule="exact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hint="eastAsia"/>
          <w:color w:val="000000"/>
          <w:sz w:val="32"/>
          <w:szCs w:val="32"/>
        </w:rPr>
        <w:t xml:space="preserve">   </w:t>
      </w:r>
      <w:r w:rsidRPr="00560691">
        <w:rPr>
          <w:rFonts w:ascii="仿宋" w:eastAsia="仿宋" w:hAnsi="仿宋"/>
          <w:b/>
          <w:color w:val="000000"/>
          <w:sz w:val="32"/>
          <w:szCs w:val="32"/>
        </w:rPr>
        <w:t>一、省部共建国家重点实验室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省部共建深部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煤矿采动响应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与灾害防控国家重点实验室、省部共建茶树生物学与资源利用国家重点实验室。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二、省部共建国家重点实验室培育建设对象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省部共建炎症免疫性疾病国家重点实验室、省部共建智能感知材料与技术国家重点实验室。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三、国家重点实验室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深部煤炭开采与环境保护国家重点实验室、浮法玻璃新技术国家重点实验室、压缩机技术国家重点实验室、认知智能国家重点实验室、金属矿山安全与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健康国家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重点实验室、稀土永磁材料国家重点实验室。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四、2020年新认定的临床医学研究中心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安徽省恶性肿瘤生物免疫治疗临床医学研究中心、安徽省危重症呼吸疾病临床医学研究中心、安徽省危重症呼吸疾病临床医学研究中心、安徽省中医肺病临床医学研究中心、安徽省针灸临床医学研究中心、安徽省中医骨伤临床医学研究中心、安徽省风湿免疫疾病临床医学研究中心、安徽省脊柱畸形临床医学研究中心、安徽省影像临床医学研究中心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五、科技情报创新基地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hyperlink r:id="rId4" w:history="1">
        <w:r w:rsidRPr="00560691">
          <w:rPr>
            <w:rStyle w:val="a3"/>
            <w:rFonts w:ascii="仿宋" w:eastAsia="仿宋" w:hAnsi="仿宋"/>
            <w:color w:val="000000"/>
            <w:sz w:val="32"/>
            <w:szCs w:val="32"/>
          </w:rPr>
          <w:t>安徽省科学技术情报研究所</w:t>
        </w:r>
      </w:hyperlink>
      <w:r w:rsidRPr="00A82F91">
        <w:rPr>
          <w:rFonts w:ascii="仿宋" w:eastAsia="仿宋" w:hAnsi="仿宋"/>
          <w:color w:val="000000"/>
          <w:sz w:val="32"/>
          <w:szCs w:val="32"/>
        </w:rPr>
        <w:t>（省科学技术档案馆）。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lastRenderedPageBreak/>
        <w:t>六、国家引才引智示范基地和 “111基地”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安徽华东光电技术研究所有限公司、合肥中科离子医学技术装备有限公司、奇瑞汽车股份有限公司（不含依托中央驻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皖单位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建设的基地），安徽农业大学茶树生物学与品质化学学科创新引智基地、安徽大学多源大数据智能催化化学学科创新引智基地、安徽大学杂化材料结构与功能调控学科创新引智基地。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七、乡村振兴持续攻坚区（32个脱贫县区）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金寨、裕安区、霍邱、舒城、金安区、叶集区、岳西、潜山、太湖、望江、宿松、颍上、临泉、阜南、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颍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东区、颍州区、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颍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泉区、界首市、太和、利辛、蒙城、涡阳、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谯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城区、砀山、萧县、灵璧、泗县、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埇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桥区、寿县、石台、怀远、定远。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八、国家自主创新示范区核心区和2020年度全省开发区评价优秀的省级以上高新区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合肥高新区、芜湖高新区、蚌埠高新区、合肥新站高新区、中新苏</w:t>
      </w:r>
      <w:proofErr w:type="gramStart"/>
      <w:r w:rsidRPr="00A82F91">
        <w:rPr>
          <w:rFonts w:ascii="仿宋" w:eastAsia="仿宋" w:hAnsi="仿宋"/>
          <w:color w:val="000000"/>
          <w:sz w:val="32"/>
          <w:szCs w:val="32"/>
        </w:rPr>
        <w:t>滁</w:t>
      </w:r>
      <w:proofErr w:type="gramEnd"/>
      <w:r w:rsidRPr="00A82F91">
        <w:rPr>
          <w:rFonts w:ascii="仿宋" w:eastAsia="仿宋" w:hAnsi="仿宋"/>
          <w:color w:val="000000"/>
          <w:sz w:val="32"/>
          <w:szCs w:val="32"/>
        </w:rPr>
        <w:t>高新区、滁州高新区、亳州高新区、马鞍山慈湖高新区、池州高新区、淮南高新区。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九、国家创新型城市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合肥市、芜湖市、马鞍山市。</w:t>
      </w:r>
    </w:p>
    <w:p w:rsidR="0088081D" w:rsidRPr="00560691" w:rsidRDefault="0088081D" w:rsidP="0088081D">
      <w:pPr>
        <w:snapToGrid w:val="0"/>
        <w:spacing w:line="62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560691">
        <w:rPr>
          <w:rFonts w:ascii="仿宋" w:eastAsia="仿宋" w:hAnsi="仿宋"/>
          <w:b/>
          <w:color w:val="000000"/>
          <w:sz w:val="32"/>
          <w:szCs w:val="32"/>
        </w:rPr>
        <w:t>十、国家创新型县（市）</w:t>
      </w:r>
    </w:p>
    <w:p w:rsidR="0088081D" w:rsidRPr="00A82F91" w:rsidRDefault="0088081D" w:rsidP="0088081D">
      <w:pPr>
        <w:snapToGrid w:val="0"/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2F91">
        <w:rPr>
          <w:rFonts w:ascii="仿宋" w:eastAsia="仿宋" w:hAnsi="仿宋"/>
          <w:color w:val="000000"/>
          <w:sz w:val="32"/>
          <w:szCs w:val="32"/>
        </w:rPr>
        <w:t>界首市、巢湖市、宁国市。</w:t>
      </w:r>
    </w:p>
    <w:p w:rsidR="00991695" w:rsidRPr="0088081D" w:rsidRDefault="0088081D"/>
    <w:sectPr w:rsidR="00991695" w:rsidRPr="008808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81D"/>
    <w:rsid w:val="0088081D"/>
    <w:rsid w:val="00B53352"/>
    <w:rsid w:val="00D5496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08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jt.ah.gov.cn/public/21671/11012010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Company>Sky123.Org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陈群</dc:creator>
  <cp:lastModifiedBy>陈群</cp:lastModifiedBy>
  <cp:revision>1</cp:revision>
  <dcterms:created xsi:type="dcterms:W3CDTF">2021-07-13T02:00:00Z</dcterms:created>
  <dcterms:modified xsi:type="dcterms:W3CDTF">2021-07-13T02:01:00Z</dcterms:modified>
</cp:coreProperties>
</file>