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6"/>
          <w:szCs w:val="36"/>
        </w:rPr>
      </w:pPr>
      <w:bookmarkStart w:id="0" w:name="_GoBack"/>
      <w:r>
        <w:rPr>
          <w:rFonts w:hint="eastAsia" w:ascii="宋体" w:hAnsi="宋体"/>
          <w:b/>
          <w:sz w:val="36"/>
          <w:szCs w:val="36"/>
        </w:rPr>
        <w:t>淮北市科技活动交流中心2022</w:t>
      </w:r>
      <w:r>
        <w:rPr>
          <w:rFonts w:ascii="宋体" w:hAnsi="宋体"/>
          <w:b/>
          <w:sz w:val="36"/>
          <w:szCs w:val="36"/>
        </w:rPr>
        <w:t>年</w:t>
      </w:r>
      <w:r>
        <w:rPr>
          <w:rFonts w:hint="eastAsia" w:ascii="宋体" w:hAnsi="宋体"/>
          <w:b/>
          <w:sz w:val="36"/>
          <w:szCs w:val="36"/>
        </w:rPr>
        <w:t>度一般公共预算</w:t>
      </w:r>
    </w:p>
    <w:p>
      <w:pPr>
        <w:jc w:val="center"/>
        <w:rPr>
          <w:rFonts w:hint="eastAsia" w:ascii="宋体" w:hAnsi="宋体"/>
          <w:b/>
          <w:sz w:val="36"/>
          <w:szCs w:val="36"/>
        </w:rPr>
      </w:pPr>
      <w:r>
        <w:rPr>
          <w:rFonts w:hint="eastAsia" w:ascii="宋体" w:hAnsi="宋体"/>
          <w:b/>
          <w:sz w:val="36"/>
          <w:szCs w:val="36"/>
        </w:rPr>
        <w:t>财政拨款</w:t>
      </w:r>
      <w:r>
        <w:rPr>
          <w:rFonts w:ascii="宋体" w:hAnsi="宋体"/>
          <w:b/>
          <w:sz w:val="36"/>
          <w:szCs w:val="36"/>
        </w:rPr>
        <w:t>“三公</w:t>
      </w:r>
      <w:r>
        <w:rPr>
          <w:rFonts w:hint="eastAsia" w:ascii="宋体" w:hAnsi="宋体"/>
          <w:b/>
          <w:sz w:val="36"/>
          <w:szCs w:val="36"/>
        </w:rPr>
        <w:t>”</w:t>
      </w:r>
      <w:r>
        <w:rPr>
          <w:rFonts w:ascii="宋体" w:hAnsi="宋体"/>
          <w:b/>
          <w:sz w:val="36"/>
          <w:szCs w:val="36"/>
        </w:rPr>
        <w:t>经费</w:t>
      </w:r>
      <w:r>
        <w:rPr>
          <w:rFonts w:hint="eastAsia" w:ascii="宋体" w:hAnsi="宋体"/>
          <w:b/>
          <w:sz w:val="36"/>
          <w:szCs w:val="36"/>
        </w:rPr>
        <w:t>支出决算</w:t>
      </w:r>
    </w:p>
    <w:bookmarkEnd w:id="0"/>
    <w:p>
      <w:pPr>
        <w:jc w:val="center"/>
        <w:rPr>
          <w:rFonts w:hint="eastAsia" w:ascii="楷体_GB2312" w:eastAsia="楷体_GB2312"/>
          <w:szCs w:val="32"/>
        </w:rPr>
      </w:pPr>
    </w:p>
    <w:p>
      <w:pPr>
        <w:rPr>
          <w:rFonts w:hint="eastAsia" w:ascii="黑体" w:hAnsi="黑体" w:eastAsia="黑体"/>
          <w:szCs w:val="32"/>
        </w:rPr>
      </w:pPr>
      <w:r>
        <w:rPr>
          <w:rFonts w:hint="eastAsia" w:ascii="黑体" w:hAnsi="黑体" w:eastAsia="黑体"/>
          <w:szCs w:val="32"/>
        </w:rPr>
        <w:t xml:space="preserve">    一、2022年度一般公共预算财政拨款“三公”经费支出决算表</w:t>
      </w:r>
    </w:p>
    <w:p>
      <w:pPr>
        <w:ind w:firstLine="7216" w:firstLineChars="2298"/>
        <w:rPr>
          <w:rFonts w:hint="eastAsia" w:ascii="黑体" w:hAnsi="黑体" w:eastAsia="黑体"/>
          <w:szCs w:val="32"/>
        </w:rPr>
      </w:pPr>
      <w:r>
        <w:rPr>
          <w:rFonts w:hint="eastAsia" w:ascii="仿宋_GB2312" w:hAnsi="仿宋_GB2312" w:cs="仿宋_GB2312"/>
          <w:szCs w:val="32"/>
        </w:rPr>
        <w:t>单位：万元</w:t>
      </w:r>
    </w:p>
    <w:tbl>
      <w:tblPr>
        <w:tblStyle w:val="4"/>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决 算 数</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　0</w:t>
            </w:r>
          </w:p>
        </w:tc>
        <w:tc>
          <w:tcPr>
            <w:tcW w:w="222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　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Cs w:val="21"/>
              </w:rPr>
            </w:pPr>
            <w:r>
              <w:rPr>
                <w:rFonts w:hint="eastAsia" w:ascii="宋体" w:hAnsi="宋体" w:cs="宋体"/>
                <w:kern w:val="0"/>
                <w:szCs w:val="21"/>
              </w:rPr>
              <w:t>　</w:t>
            </w:r>
          </w:p>
        </w:tc>
        <w:tc>
          <w:tcPr>
            <w:tcW w:w="222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Cs w:val="21"/>
              </w:rPr>
            </w:pPr>
            <w:r>
              <w:rPr>
                <w:rFonts w:hint="eastAsia" w:ascii="宋体" w:hAnsi="宋体" w:cs="宋体"/>
                <w:kern w:val="0"/>
                <w:szCs w:val="21"/>
              </w:rPr>
              <w:t>　</w:t>
            </w:r>
          </w:p>
        </w:tc>
        <w:tc>
          <w:tcPr>
            <w:tcW w:w="222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公务用车购置及运行维护费</w:t>
            </w:r>
          </w:p>
        </w:tc>
        <w:tc>
          <w:tcPr>
            <w:tcW w:w="2157"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Cs w:val="21"/>
              </w:rPr>
            </w:pPr>
            <w:r>
              <w:rPr>
                <w:rFonts w:hint="eastAsia" w:ascii="宋体" w:hAnsi="宋体" w:cs="宋体"/>
                <w:kern w:val="0"/>
                <w:szCs w:val="21"/>
              </w:rPr>
              <w:t>　</w:t>
            </w:r>
          </w:p>
        </w:tc>
        <w:tc>
          <w:tcPr>
            <w:tcW w:w="222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xml:space="preserve">  其中：公务用车购置费</w:t>
            </w:r>
          </w:p>
        </w:tc>
        <w:tc>
          <w:tcPr>
            <w:tcW w:w="2157"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Cs w:val="21"/>
              </w:rPr>
            </w:pPr>
            <w:r>
              <w:rPr>
                <w:rFonts w:hint="eastAsia" w:ascii="宋体" w:hAnsi="宋体" w:cs="宋体"/>
                <w:kern w:val="0"/>
                <w:szCs w:val="21"/>
              </w:rPr>
              <w:t>　</w:t>
            </w:r>
          </w:p>
        </w:tc>
        <w:tc>
          <w:tcPr>
            <w:tcW w:w="222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xml:space="preserve">        公务用车运行维护费</w:t>
            </w:r>
          </w:p>
        </w:tc>
        <w:tc>
          <w:tcPr>
            <w:tcW w:w="2157"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Cs w:val="21"/>
              </w:rPr>
            </w:pPr>
            <w:r>
              <w:rPr>
                <w:rFonts w:hint="eastAsia" w:ascii="宋体" w:hAnsi="宋体" w:cs="宋体"/>
                <w:kern w:val="0"/>
                <w:szCs w:val="21"/>
              </w:rPr>
              <w:t>　</w:t>
            </w:r>
          </w:p>
        </w:tc>
        <w:tc>
          <w:tcPr>
            <w:tcW w:w="222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Cs w:val="21"/>
              </w:rPr>
            </w:pPr>
            <w:r>
              <w:rPr>
                <w:rFonts w:hint="eastAsia" w:ascii="宋体" w:hAnsi="宋体" w:cs="宋体"/>
                <w:kern w:val="0"/>
                <w:szCs w:val="21"/>
              </w:rPr>
              <w:t>　</w:t>
            </w:r>
          </w:p>
        </w:tc>
      </w:tr>
    </w:tbl>
    <w:p>
      <w:pPr>
        <w:spacing w:line="300" w:lineRule="exact"/>
        <w:rPr>
          <w:rFonts w:hint="eastAsia" w:ascii="仿宋_GB2312" w:hAnsi="仿宋"/>
          <w:sz w:val="21"/>
          <w:szCs w:val="21"/>
        </w:rPr>
      </w:pPr>
    </w:p>
    <w:p>
      <w:pPr>
        <w:spacing w:line="300" w:lineRule="exact"/>
        <w:rPr>
          <w:rFonts w:hint="eastAsia" w:ascii="黑体" w:hAnsi="黑体" w:eastAsia="黑体"/>
          <w:szCs w:val="32"/>
        </w:rPr>
      </w:pPr>
      <w:r>
        <w:rPr>
          <w:rFonts w:hint="eastAsia" w:ascii="仿宋_GB2312" w:hAnsi="仿宋"/>
          <w:sz w:val="21"/>
          <w:szCs w:val="21"/>
        </w:rPr>
        <w:t xml:space="preserve">注：本表反映单位本年度一般公共预算财政拨款“三公”经费支出预决算情况。其中，预算数为“三公”经费全年预算数，反映按规定程序调整后的预算数;决算数是包括当年一般公共预算财政拨款和以前年度结转资金安排的实际支出。 </w:t>
      </w:r>
      <w:r>
        <w:rPr>
          <w:rFonts w:hint="eastAsia" w:ascii="仿宋_GB2312" w:hAnsi="仿宋"/>
          <w:szCs w:val="32"/>
        </w:rPr>
        <w:t xml:space="preserve">  </w:t>
      </w:r>
      <w:r>
        <w:rPr>
          <w:rFonts w:hint="eastAsia" w:ascii="黑体" w:hAnsi="黑体" w:eastAsia="黑体"/>
          <w:szCs w:val="32"/>
        </w:rPr>
        <w:t xml:space="preserve">                                    </w:t>
      </w:r>
    </w:p>
    <w:p>
      <w:pPr>
        <w:rPr>
          <w:rFonts w:hint="eastAsia" w:ascii="黑体" w:hAnsi="黑体" w:eastAsia="黑体"/>
          <w:szCs w:val="32"/>
        </w:rPr>
      </w:pPr>
      <w:r>
        <w:rPr>
          <w:rFonts w:ascii="黑体" w:hAnsi="黑体" w:eastAsia="黑体"/>
          <w:szCs w:val="32"/>
        </w:rPr>
        <w:t xml:space="preserve">    </w:t>
      </w:r>
      <w:r>
        <w:rPr>
          <w:rFonts w:hint="eastAsia" w:ascii="黑体" w:hAnsi="黑体" w:eastAsia="黑体"/>
          <w:szCs w:val="32"/>
        </w:rPr>
        <w:t>二</w:t>
      </w:r>
      <w:r>
        <w:rPr>
          <w:rFonts w:ascii="黑体" w:hAnsi="黑体" w:eastAsia="黑体"/>
          <w:szCs w:val="32"/>
        </w:rPr>
        <w:t>、</w:t>
      </w:r>
      <w:r>
        <w:rPr>
          <w:rFonts w:hint="eastAsia" w:ascii="黑体" w:hAnsi="黑体" w:eastAsia="黑体"/>
          <w:szCs w:val="32"/>
        </w:rPr>
        <w:t>2022</w:t>
      </w:r>
      <w:r>
        <w:rPr>
          <w:rFonts w:ascii="黑体" w:hAnsi="黑体" w:eastAsia="黑体"/>
          <w:szCs w:val="32"/>
        </w:rPr>
        <w:t>年</w:t>
      </w:r>
      <w:r>
        <w:rPr>
          <w:rFonts w:hint="eastAsia" w:ascii="黑体" w:hAnsi="黑体" w:eastAsia="黑体"/>
          <w:szCs w:val="32"/>
        </w:rPr>
        <w:t>度一般公共预算财政拨款“三公”经费支出</w:t>
      </w:r>
      <w:r>
        <w:rPr>
          <w:rFonts w:ascii="黑体" w:hAnsi="黑体" w:eastAsia="黑体"/>
          <w:szCs w:val="32"/>
        </w:rPr>
        <w:t>情况说明</w:t>
      </w:r>
    </w:p>
    <w:p>
      <w:pPr>
        <w:ind w:firstLine="628" w:firstLineChars="200"/>
        <w:rPr>
          <w:rFonts w:hint="eastAsia" w:ascii="仿宋_GB2312" w:hAnsi="仿宋"/>
          <w:b/>
          <w:szCs w:val="32"/>
        </w:rPr>
      </w:pPr>
      <w:r>
        <w:rPr>
          <w:rFonts w:hint="eastAsia" w:ascii="仿宋_GB2312" w:hAnsi="仿宋"/>
          <w:b/>
          <w:szCs w:val="32"/>
        </w:rPr>
        <w:t>（一）一般公共预算财政拨款“三公”经费支出决算总体情况说明。</w:t>
      </w:r>
    </w:p>
    <w:p>
      <w:pPr>
        <w:ind w:firstLine="628" w:firstLineChars="200"/>
        <w:rPr>
          <w:rFonts w:hint="eastAsia" w:ascii="楷体_GB2312" w:hAnsi="仿宋"/>
          <w:szCs w:val="32"/>
        </w:rPr>
      </w:pPr>
      <w:r>
        <w:rPr>
          <w:rFonts w:hint="eastAsia" w:ascii="仿宋_GB2312" w:hAnsi="仿宋"/>
          <w:szCs w:val="32"/>
        </w:rPr>
        <w:t>淮北市科技活动交流中心（单位名称）2022年度一般公共预算财政拨款“三公”经费支出预算为0万元，支出决算为0万元，完成预算的100%，较上年减少0万元，下降0%。</w:t>
      </w:r>
      <w:r>
        <w:rPr>
          <w:rFonts w:hint="eastAsia" w:ascii="仿宋_GB2312" w:hAnsi="仿宋"/>
          <w:sz w:val="30"/>
          <w:szCs w:val="30"/>
        </w:rPr>
        <w:t>决算数与预算数相同；原因是2021年度、2022年度均未安排</w:t>
      </w:r>
      <w:r>
        <w:rPr>
          <w:rFonts w:hint="eastAsia" w:ascii="仿宋_GB2312" w:hAnsi="仿宋"/>
          <w:szCs w:val="32"/>
        </w:rPr>
        <w:t>一般公共预算财政拨款“三公”经费支出。</w:t>
      </w:r>
    </w:p>
    <w:p>
      <w:pPr>
        <w:ind w:firstLine="628" w:firstLineChars="200"/>
        <w:rPr>
          <w:rFonts w:hint="eastAsia" w:ascii="仿宋_GB2312" w:hAnsi="仿宋"/>
          <w:b/>
          <w:szCs w:val="32"/>
        </w:rPr>
      </w:pPr>
      <w:r>
        <w:rPr>
          <w:rFonts w:hint="eastAsia" w:ascii="仿宋_GB2312" w:hAnsi="仿宋"/>
          <w:b/>
          <w:bCs/>
          <w:szCs w:val="32"/>
        </w:rPr>
        <w:t>（二）</w:t>
      </w:r>
      <w:r>
        <w:rPr>
          <w:rFonts w:hint="eastAsia" w:ascii="仿宋_GB2312" w:hAnsi="仿宋"/>
          <w:b/>
          <w:szCs w:val="32"/>
        </w:rPr>
        <w:t>一般公共预算财政拨款“三公”经费支出决算具体情况说明。</w:t>
      </w:r>
    </w:p>
    <w:p>
      <w:pPr>
        <w:ind w:firstLine="628" w:firstLineChars="200"/>
        <w:rPr>
          <w:rFonts w:hint="eastAsia" w:ascii="仿宋_GB2312" w:hAnsi="仿宋"/>
          <w:szCs w:val="32"/>
        </w:rPr>
      </w:pPr>
      <w:r>
        <w:rPr>
          <w:rFonts w:hint="eastAsia" w:ascii="仿宋_GB2312" w:hAnsi="仿宋"/>
          <w:szCs w:val="32"/>
        </w:rPr>
        <w:t>淮北市科技活动交流中心2022年度一般公共预算财政拨款“三公”经费支出决算中，因公出国（境）费支出决算0万元，占0%;公务接待费支出决算0万元，占0%；公务用车购置及运行维护费支出决算0万元，占0%。具体情况如下：</w:t>
      </w:r>
    </w:p>
    <w:p>
      <w:pPr>
        <w:ind w:firstLine="628" w:firstLineChars="200"/>
        <w:rPr>
          <w:rFonts w:hint="eastAsia" w:ascii="仿宋_GB2312" w:hAnsi="仿宋"/>
          <w:szCs w:val="32"/>
        </w:rPr>
      </w:pPr>
      <w:r>
        <w:rPr>
          <w:rFonts w:hint="eastAsia" w:ascii="仿宋_GB2312" w:hAnsi="仿宋"/>
          <w:b/>
          <w:bCs/>
          <w:szCs w:val="32"/>
        </w:rPr>
        <w:t>1.因公出国（境）费</w:t>
      </w:r>
      <w:r>
        <w:rPr>
          <w:rFonts w:hint="eastAsia" w:ascii="仿宋_GB2312" w:hAnsi="仿宋"/>
          <w:szCs w:val="32"/>
        </w:rPr>
        <w:t>预算为0万元，支出决算为0万元，完成预算的100%；</w:t>
      </w:r>
      <w:r>
        <w:rPr>
          <w:rFonts w:hint="eastAsia" w:ascii="仿宋_GB2312" w:hAnsi="仿宋"/>
          <w:sz w:val="30"/>
          <w:szCs w:val="30"/>
        </w:rPr>
        <w:t>决算数与预算数相同；</w:t>
      </w:r>
      <w:r>
        <w:rPr>
          <w:rFonts w:hint="eastAsia" w:ascii="仿宋_GB2312" w:hAnsi="仿宋"/>
          <w:szCs w:val="32"/>
        </w:rPr>
        <w:t>较上年减少0万元，下降0%。</w:t>
      </w:r>
      <w:r>
        <w:rPr>
          <w:rFonts w:hint="eastAsia" w:ascii="仿宋_GB2312" w:hAnsi="仿宋"/>
          <w:sz w:val="30"/>
          <w:szCs w:val="30"/>
        </w:rPr>
        <w:t>原因是2021年度、2022年度均未安排因公出国（境）计划。</w:t>
      </w:r>
      <w:r>
        <w:rPr>
          <w:rFonts w:hint="eastAsia" w:ascii="仿宋_GB2312" w:hAnsi="仿宋"/>
          <w:b/>
          <w:bCs/>
          <w:sz w:val="30"/>
          <w:szCs w:val="30"/>
        </w:rPr>
        <w:t>故2022年</w:t>
      </w:r>
      <w:r>
        <w:rPr>
          <w:rFonts w:hint="eastAsia" w:ascii="仿宋_GB2312" w:hAnsi="仿宋"/>
          <w:szCs w:val="32"/>
        </w:rPr>
        <w:t>淮北市科技活动交流中心因公出国（境）团组0次，出国（境）0人次。</w:t>
      </w:r>
    </w:p>
    <w:p>
      <w:pPr>
        <w:ind w:firstLine="628" w:firstLineChars="200"/>
        <w:rPr>
          <w:rFonts w:hint="eastAsia" w:ascii="仿宋_GB2312" w:hAnsi="仿宋"/>
          <w:szCs w:val="32"/>
        </w:rPr>
      </w:pPr>
      <w:r>
        <w:rPr>
          <w:rFonts w:hint="eastAsia" w:ascii="仿宋_GB2312" w:hAnsi="仿宋"/>
          <w:b/>
          <w:bCs/>
          <w:szCs w:val="32"/>
        </w:rPr>
        <w:t>2.公务接待费</w:t>
      </w:r>
      <w:r>
        <w:rPr>
          <w:rFonts w:hint="eastAsia" w:ascii="仿宋_GB2312" w:hAnsi="仿宋"/>
          <w:szCs w:val="32"/>
        </w:rPr>
        <w:t>预算为0万元，支出决算为0万元，完成预算的100%；较上年减少0万元，下降0%。决算数与预算数相同；原因是</w:t>
      </w:r>
      <w:r>
        <w:rPr>
          <w:rFonts w:hint="eastAsia" w:ascii="仿宋_GB2312" w:hAnsi="仿宋"/>
          <w:sz w:val="30"/>
          <w:szCs w:val="30"/>
        </w:rPr>
        <w:t>2021年度、2022年度均未安排</w:t>
      </w:r>
      <w:r>
        <w:rPr>
          <w:rFonts w:hint="eastAsia" w:ascii="仿宋_GB2312" w:hAnsi="仿宋"/>
          <w:szCs w:val="32"/>
        </w:rPr>
        <w:t>公务接待费预算。</w:t>
      </w:r>
    </w:p>
    <w:p>
      <w:pPr>
        <w:ind w:firstLine="628" w:firstLineChars="200"/>
        <w:rPr>
          <w:rFonts w:hint="eastAsia" w:ascii="仿宋_GB2312"/>
        </w:rPr>
      </w:pPr>
      <w:r>
        <w:rPr>
          <w:rFonts w:hint="eastAsia" w:ascii="仿宋_GB2312" w:hAnsi="仿宋"/>
          <w:b/>
          <w:bCs/>
          <w:szCs w:val="32"/>
        </w:rPr>
        <w:t>3.公务用车购置及运行维护费</w:t>
      </w:r>
      <w:r>
        <w:rPr>
          <w:rFonts w:hint="eastAsia" w:ascii="仿宋_GB2312" w:hAnsi="仿宋"/>
          <w:szCs w:val="32"/>
        </w:rPr>
        <w:t>预算为0万元，支出决算为  0万元，完成预算的100%；较上年减少0万元，下降0%。决算数与预算数相同；原因是</w:t>
      </w:r>
      <w:r>
        <w:rPr>
          <w:rFonts w:hint="eastAsia" w:ascii="仿宋_GB2312" w:hAnsi="仿宋"/>
          <w:sz w:val="30"/>
          <w:szCs w:val="30"/>
        </w:rPr>
        <w:t>2021年度、2022年度均未安</w:t>
      </w:r>
      <w:r>
        <w:rPr>
          <w:rFonts w:hint="eastAsia" w:ascii="仿宋_GB2312" w:hAnsi="仿宋"/>
          <w:szCs w:val="32"/>
        </w:rPr>
        <w:t>排公务用车购置及运行维护费预算。截至2022年12月31日，淮北市科技活动交流中心（单位名称）开支财政拨款的公务用车保有量为0辆。</w:t>
      </w:r>
    </w:p>
    <w:sectPr>
      <w:footerReference r:id="rId3" w:type="default"/>
      <w:footerReference r:id="rId4" w:type="even"/>
      <w:pgSz w:w="11906" w:h="16838"/>
      <w:pgMar w:top="2155" w:right="1531" w:bottom="1588" w:left="1588" w:header="0" w:footer="1588" w:gutter="0"/>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Fonts w:ascii="仿宋_GB2312"/>
        <w:sz w:val="28"/>
      </w:rPr>
    </w:pPr>
    <w:r>
      <w:rPr>
        <w:rStyle w:val="6"/>
        <w:rFonts w:hint="eastAsia" w:ascii="仿宋_GB2312"/>
        <w:sz w:val="28"/>
      </w:rPr>
      <w:t>-</w:t>
    </w:r>
    <w:r>
      <w:rPr>
        <w:rFonts w:hint="eastAsia" w:ascii="仿宋_GB2312"/>
        <w:sz w:val="28"/>
        <w:szCs w:val="28"/>
      </w:rPr>
      <w:fldChar w:fldCharType="begin"/>
    </w:r>
    <w:r>
      <w:rPr>
        <w:rStyle w:val="6"/>
        <w:rFonts w:hint="eastAsia" w:ascii="仿宋_GB2312"/>
        <w:sz w:val="28"/>
        <w:szCs w:val="28"/>
      </w:rPr>
      <w:instrText xml:space="preserve"> PAGE </w:instrText>
    </w:r>
    <w:r>
      <w:rPr>
        <w:rFonts w:hint="eastAsia" w:ascii="仿宋_GB2312"/>
        <w:sz w:val="28"/>
        <w:szCs w:val="28"/>
      </w:rPr>
      <w:fldChar w:fldCharType="separate"/>
    </w:r>
    <w:r>
      <w:rPr>
        <w:rStyle w:val="6"/>
        <w:rFonts w:ascii="仿宋_GB2312"/>
        <w:sz w:val="28"/>
        <w:szCs w:val="28"/>
      </w:rPr>
      <w:t>1</w:t>
    </w:r>
    <w:r>
      <w:rPr>
        <w:rFonts w:hint="eastAsia" w:ascii="仿宋_GB2312"/>
        <w:sz w:val="28"/>
        <w:szCs w:val="28"/>
      </w:rPr>
      <w:fldChar w:fldCharType="end"/>
    </w:r>
    <w:r>
      <w:rPr>
        <w:rStyle w:val="6"/>
        <w:rFonts w:hint="eastAsia" w:ascii="仿宋_GB2312"/>
        <w:sz w:val="28"/>
        <w:szCs w:val="28"/>
      </w:rPr>
      <w:t>-</w:t>
    </w:r>
  </w:p>
  <w:p>
    <w:pPr>
      <w:pStyle w:val="3"/>
      <w:ind w:right="360"/>
      <w:jc w:val="right"/>
      <w:rPr>
        <w:rFonts w:hint="eastAsia"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1</w: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MjlhNDk2ODA3ZTJmZDdiNjQ4NjYxOTQ5ZDE2OTEifQ=="/>
  </w:docVars>
  <w:rsids>
    <w:rsidRoot w:val="6F371F91"/>
    <w:rsid w:val="6F371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0"/>
    <w:pPr>
      <w:jc w:val="center"/>
    </w:pPr>
    <w:rPr>
      <w:rFonts w:eastAsia="黑体"/>
      <w:sz w:val="36"/>
    </w:rPr>
  </w:style>
  <w:style w:type="paragraph" w:styleId="3">
    <w:name w:val="footer"/>
    <w:basedOn w:val="1"/>
    <w:uiPriority w:val="0"/>
    <w:pPr>
      <w:tabs>
        <w:tab w:val="center" w:pos="4153"/>
        <w:tab w:val="right" w:pos="8306"/>
      </w:tabs>
      <w:snapToGrid w:val="0"/>
      <w:jc w:val="left"/>
    </w:pPr>
    <w:rPr>
      <w:sz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2023-09-25T00:57:00Z</dcterms:created>
  <dc:creator>科技局朱</dc:creator>
  <cp:lastModifiedBy>科技局朱</cp:lastModifiedBy>
  <dcterms:modified xsi:type="dcterms:W3CDTF">2023-09-25T00:59:12Z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74A1675E20DD444793F26203E7CA1FE4_11</vt:lpwstr>
  </property>
</Properties>
</file>