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7C" w:rsidRDefault="00993332">
      <w:pPr>
        <w:adjustRightInd w:val="0"/>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int="eastAsia"/>
          <w:bCs/>
          <w:color w:val="000000"/>
          <w:spacing w:val="-20"/>
          <w:sz w:val="48"/>
          <w:szCs w:val="48"/>
        </w:rPr>
        <w:t>上海交通大学安徽（淮北）陶铝新材料研究院</w:t>
      </w:r>
      <w:r>
        <w:rPr>
          <w:rFonts w:ascii="方正小标宋简体" w:eastAsia="方正小标宋简体" w:hAnsi="方正小标宋简体" w:cs="方正小标宋简体" w:hint="eastAsia"/>
          <w:bCs/>
          <w:sz w:val="44"/>
          <w:szCs w:val="44"/>
        </w:rPr>
        <w:t>2022年度单位决算</w:t>
      </w: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771D7C">
      <w:pPr>
        <w:rPr>
          <w:rFonts w:ascii="宋体" w:hAnsi="宋体"/>
          <w:sz w:val="28"/>
          <w:szCs w:val="28"/>
        </w:rPr>
      </w:pPr>
    </w:p>
    <w:p w:rsidR="00771D7C" w:rsidRDefault="00993332">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2023年9月</w:t>
      </w:r>
    </w:p>
    <w:p w:rsidR="00771D7C" w:rsidRDefault="00771D7C">
      <w:pPr>
        <w:spacing w:line="580" w:lineRule="exact"/>
        <w:jc w:val="center"/>
        <w:rPr>
          <w:rFonts w:ascii="黑体" w:eastAsia="黑体" w:hAnsi="宋体"/>
          <w:bCs/>
          <w:sz w:val="48"/>
          <w:szCs w:val="48"/>
        </w:rPr>
      </w:pPr>
    </w:p>
    <w:p w:rsidR="00771D7C" w:rsidRDefault="00771D7C">
      <w:pPr>
        <w:spacing w:line="580" w:lineRule="exact"/>
        <w:jc w:val="center"/>
        <w:rPr>
          <w:rFonts w:ascii="黑体" w:eastAsia="黑体" w:hAnsi="宋体"/>
          <w:bCs/>
          <w:sz w:val="48"/>
          <w:szCs w:val="48"/>
        </w:rPr>
      </w:pPr>
    </w:p>
    <w:p w:rsidR="00771D7C" w:rsidRDefault="00771D7C">
      <w:pPr>
        <w:pStyle w:val="a0"/>
      </w:pPr>
    </w:p>
    <w:p w:rsidR="00771D7C" w:rsidRDefault="00771D7C">
      <w:pPr>
        <w:spacing w:line="580" w:lineRule="exact"/>
        <w:jc w:val="center"/>
        <w:rPr>
          <w:rFonts w:ascii="黑体" w:eastAsia="黑体" w:hAnsi="宋体"/>
          <w:bCs/>
          <w:sz w:val="48"/>
          <w:szCs w:val="48"/>
        </w:rPr>
      </w:pPr>
    </w:p>
    <w:p w:rsidR="00771D7C" w:rsidRDefault="00993332">
      <w:pPr>
        <w:spacing w:line="580" w:lineRule="exact"/>
        <w:jc w:val="center"/>
        <w:rPr>
          <w:rFonts w:ascii="黑体" w:eastAsia="黑体" w:hAnsi="宋体"/>
          <w:bCs/>
          <w:sz w:val="48"/>
          <w:szCs w:val="48"/>
        </w:rPr>
      </w:pPr>
      <w:r>
        <w:rPr>
          <w:rFonts w:ascii="黑体" w:eastAsia="黑体" w:hAnsi="宋体" w:hint="eastAsia"/>
          <w:bCs/>
          <w:sz w:val="48"/>
          <w:szCs w:val="48"/>
        </w:rPr>
        <w:t>目  录</w:t>
      </w:r>
    </w:p>
    <w:p w:rsidR="00771D7C" w:rsidRDefault="00993332">
      <w:pPr>
        <w:spacing w:line="550" w:lineRule="exact"/>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上海交通大学安徽（淮北）陶铝新材料研究院概况</w:t>
      </w:r>
    </w:p>
    <w:p w:rsidR="00771D7C" w:rsidRDefault="00993332">
      <w:pPr>
        <w:spacing w:line="550" w:lineRule="exact"/>
        <w:rPr>
          <w:rFonts w:ascii="宋体" w:hAnsi="宋体"/>
          <w:bCs/>
          <w:sz w:val="36"/>
          <w:szCs w:val="36"/>
        </w:rPr>
      </w:pPr>
      <w:r>
        <w:rPr>
          <w:rFonts w:ascii="宋体" w:hAnsi="宋体" w:hint="eastAsia"/>
          <w:bCs/>
          <w:sz w:val="36"/>
          <w:szCs w:val="36"/>
        </w:rPr>
        <w:t>一、主要职责</w:t>
      </w:r>
    </w:p>
    <w:p w:rsidR="00771D7C" w:rsidRDefault="00993332">
      <w:pPr>
        <w:spacing w:line="550" w:lineRule="exact"/>
        <w:rPr>
          <w:rFonts w:ascii="宋体" w:hAnsi="宋体"/>
          <w:bCs/>
          <w:sz w:val="36"/>
          <w:szCs w:val="36"/>
        </w:rPr>
      </w:pPr>
      <w:r>
        <w:rPr>
          <w:rFonts w:ascii="宋体" w:hAnsi="宋体" w:hint="eastAsia"/>
          <w:bCs/>
          <w:sz w:val="36"/>
          <w:szCs w:val="36"/>
        </w:rPr>
        <w:t>二、单位决算构成</w:t>
      </w:r>
    </w:p>
    <w:p w:rsidR="00771D7C" w:rsidRDefault="00993332">
      <w:pPr>
        <w:spacing w:line="550" w:lineRule="exact"/>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上海交通大学安徽（淮北）陶铝新材料研究院</w:t>
      </w:r>
      <w:r>
        <w:rPr>
          <w:rFonts w:ascii="宋体" w:hAnsi="宋体" w:hint="eastAsia"/>
          <w:b/>
          <w:sz w:val="36"/>
          <w:szCs w:val="36"/>
        </w:rPr>
        <w:t>2022</w:t>
      </w:r>
      <w:r>
        <w:rPr>
          <w:rFonts w:ascii="宋体" w:hAnsi="宋体" w:hint="eastAsia"/>
          <w:b/>
          <w:sz w:val="36"/>
          <w:szCs w:val="36"/>
        </w:rPr>
        <w:t>年度单位决算情况说明</w:t>
      </w:r>
    </w:p>
    <w:p w:rsidR="00771D7C" w:rsidRDefault="00993332">
      <w:pPr>
        <w:spacing w:line="550" w:lineRule="exact"/>
        <w:rPr>
          <w:rFonts w:ascii="宋体" w:hAnsi="宋体"/>
          <w:bCs/>
          <w:sz w:val="36"/>
          <w:szCs w:val="36"/>
        </w:rPr>
      </w:pPr>
      <w:r>
        <w:rPr>
          <w:rFonts w:ascii="宋体" w:hAnsi="宋体" w:hint="eastAsia"/>
          <w:bCs/>
          <w:sz w:val="36"/>
          <w:szCs w:val="36"/>
        </w:rPr>
        <w:t>一、收入支出决算总体情况说明</w:t>
      </w:r>
    </w:p>
    <w:p w:rsidR="00771D7C" w:rsidRDefault="00993332">
      <w:pPr>
        <w:spacing w:line="550" w:lineRule="exact"/>
        <w:rPr>
          <w:rFonts w:ascii="宋体" w:hAnsi="宋体"/>
          <w:bCs/>
          <w:sz w:val="36"/>
          <w:szCs w:val="36"/>
        </w:rPr>
      </w:pPr>
      <w:r>
        <w:rPr>
          <w:rFonts w:ascii="宋体" w:hAnsi="宋体" w:hint="eastAsia"/>
          <w:bCs/>
          <w:sz w:val="36"/>
          <w:szCs w:val="36"/>
        </w:rPr>
        <w:t>二、收入决算情况说明</w:t>
      </w:r>
    </w:p>
    <w:p w:rsidR="00771D7C" w:rsidRDefault="00993332">
      <w:pPr>
        <w:spacing w:line="550" w:lineRule="exact"/>
        <w:rPr>
          <w:rFonts w:ascii="宋体" w:hAnsi="宋体"/>
          <w:bCs/>
          <w:sz w:val="36"/>
          <w:szCs w:val="36"/>
        </w:rPr>
      </w:pPr>
      <w:r>
        <w:rPr>
          <w:rFonts w:ascii="宋体" w:hAnsi="宋体" w:hint="eastAsia"/>
          <w:bCs/>
          <w:sz w:val="36"/>
          <w:szCs w:val="36"/>
        </w:rPr>
        <w:t>三、支出决算情况说明</w:t>
      </w:r>
    </w:p>
    <w:p w:rsidR="00771D7C" w:rsidRDefault="00993332">
      <w:pPr>
        <w:spacing w:line="550" w:lineRule="exact"/>
        <w:rPr>
          <w:rFonts w:ascii="宋体" w:hAnsi="宋体"/>
          <w:bCs/>
          <w:sz w:val="36"/>
          <w:szCs w:val="36"/>
        </w:rPr>
      </w:pPr>
      <w:r>
        <w:rPr>
          <w:rFonts w:ascii="宋体" w:hAnsi="宋体" w:hint="eastAsia"/>
          <w:bCs/>
          <w:sz w:val="36"/>
          <w:szCs w:val="36"/>
        </w:rPr>
        <w:t>四、财政拨款收入支出决算总体情况说明</w:t>
      </w:r>
    </w:p>
    <w:p w:rsidR="00771D7C" w:rsidRDefault="00993332">
      <w:pPr>
        <w:spacing w:line="550" w:lineRule="exact"/>
        <w:rPr>
          <w:rFonts w:ascii="宋体" w:hAnsi="宋体"/>
          <w:bCs/>
          <w:sz w:val="36"/>
          <w:szCs w:val="36"/>
        </w:rPr>
      </w:pPr>
      <w:r>
        <w:rPr>
          <w:rFonts w:ascii="宋体" w:hAnsi="宋体" w:hint="eastAsia"/>
          <w:bCs/>
          <w:sz w:val="36"/>
          <w:szCs w:val="36"/>
        </w:rPr>
        <w:t>五、一般公共预算财政拨款支出决算情况说明</w:t>
      </w:r>
    </w:p>
    <w:p w:rsidR="00771D7C" w:rsidRDefault="00993332">
      <w:pPr>
        <w:spacing w:line="550" w:lineRule="exact"/>
        <w:rPr>
          <w:rFonts w:ascii="宋体" w:hAnsi="宋体"/>
          <w:bCs/>
          <w:sz w:val="36"/>
          <w:szCs w:val="36"/>
        </w:rPr>
      </w:pPr>
      <w:r>
        <w:rPr>
          <w:rFonts w:ascii="宋体" w:hAnsi="宋体" w:hint="eastAsia"/>
          <w:bCs/>
          <w:sz w:val="36"/>
          <w:szCs w:val="36"/>
        </w:rPr>
        <w:t>六、一般公共预算财政拨款基本支出决算情况说明</w:t>
      </w:r>
    </w:p>
    <w:p w:rsidR="00771D7C" w:rsidRDefault="00993332">
      <w:pPr>
        <w:spacing w:line="550" w:lineRule="exact"/>
        <w:rPr>
          <w:rFonts w:ascii="宋体" w:hAnsi="宋体"/>
          <w:bCs/>
          <w:sz w:val="36"/>
          <w:szCs w:val="36"/>
        </w:rPr>
      </w:pPr>
      <w:r>
        <w:rPr>
          <w:rFonts w:ascii="宋体" w:hAnsi="宋体" w:hint="eastAsia"/>
          <w:bCs/>
          <w:sz w:val="36"/>
          <w:szCs w:val="36"/>
        </w:rPr>
        <w:t>七、政府性基金预算财政拨款收入支出决算情况说明</w:t>
      </w:r>
    </w:p>
    <w:p w:rsidR="00771D7C" w:rsidRDefault="00993332">
      <w:pPr>
        <w:spacing w:line="550" w:lineRule="exact"/>
        <w:rPr>
          <w:rFonts w:ascii="宋体" w:hAnsi="宋体"/>
          <w:bCs/>
          <w:sz w:val="36"/>
          <w:szCs w:val="36"/>
        </w:rPr>
      </w:pPr>
      <w:r>
        <w:rPr>
          <w:rFonts w:ascii="宋体" w:hAnsi="宋体" w:hint="eastAsia"/>
          <w:bCs/>
          <w:sz w:val="36"/>
          <w:szCs w:val="36"/>
        </w:rPr>
        <w:t>八、国有资本经营预算财政拨款支出决算情况说明</w:t>
      </w:r>
    </w:p>
    <w:p w:rsidR="00771D7C" w:rsidRDefault="00993332">
      <w:pPr>
        <w:spacing w:line="550" w:lineRule="exact"/>
        <w:rPr>
          <w:rFonts w:ascii="宋体" w:hAnsi="宋体"/>
          <w:bCs/>
          <w:sz w:val="36"/>
          <w:szCs w:val="36"/>
        </w:rPr>
      </w:pPr>
      <w:r>
        <w:rPr>
          <w:rFonts w:ascii="宋体" w:hAnsi="宋体" w:hint="eastAsia"/>
          <w:bCs/>
          <w:sz w:val="36"/>
          <w:szCs w:val="36"/>
        </w:rPr>
        <w:t>九、其他重要事项情况说明</w:t>
      </w:r>
    </w:p>
    <w:p w:rsidR="00771D7C" w:rsidRDefault="00993332">
      <w:pPr>
        <w:spacing w:line="550" w:lineRule="exact"/>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771D7C" w:rsidRDefault="00993332">
      <w:pPr>
        <w:spacing w:line="550" w:lineRule="exact"/>
        <w:rPr>
          <w:rFonts w:ascii="宋体" w:hAnsi="宋体"/>
          <w:b/>
          <w:sz w:val="36"/>
          <w:szCs w:val="36"/>
        </w:rPr>
      </w:pPr>
      <w:r>
        <w:rPr>
          <w:rFonts w:ascii="宋体" w:hAnsi="宋体" w:hint="eastAsia"/>
          <w:b/>
          <w:sz w:val="36"/>
          <w:szCs w:val="36"/>
        </w:rPr>
        <w:t>附件：</w:t>
      </w:r>
    </w:p>
    <w:p w:rsidR="00771D7C" w:rsidRDefault="00993332">
      <w:pPr>
        <w:spacing w:line="550" w:lineRule="exact"/>
        <w:rPr>
          <w:rFonts w:ascii="宋体" w:hAnsi="宋体"/>
          <w:bCs/>
          <w:sz w:val="36"/>
          <w:szCs w:val="36"/>
        </w:rPr>
      </w:pPr>
      <w:r>
        <w:rPr>
          <w:rFonts w:ascii="宋体" w:hAnsi="宋体" w:hint="eastAsia"/>
          <w:bCs/>
          <w:sz w:val="36"/>
          <w:szCs w:val="36"/>
        </w:rPr>
        <w:t>一、收入支出决算总表</w:t>
      </w:r>
    </w:p>
    <w:p w:rsidR="00771D7C" w:rsidRDefault="00993332">
      <w:pPr>
        <w:spacing w:line="550" w:lineRule="exact"/>
        <w:rPr>
          <w:rFonts w:ascii="宋体" w:hAnsi="宋体"/>
          <w:bCs/>
          <w:sz w:val="36"/>
          <w:szCs w:val="36"/>
        </w:rPr>
      </w:pPr>
      <w:r>
        <w:rPr>
          <w:rFonts w:ascii="宋体" w:hAnsi="宋体" w:hint="eastAsia"/>
          <w:bCs/>
          <w:sz w:val="36"/>
          <w:szCs w:val="36"/>
        </w:rPr>
        <w:t>二、收入决算表</w:t>
      </w:r>
    </w:p>
    <w:p w:rsidR="00771D7C" w:rsidRDefault="00993332">
      <w:pPr>
        <w:spacing w:line="550" w:lineRule="exact"/>
        <w:rPr>
          <w:rFonts w:ascii="宋体" w:hAnsi="宋体"/>
          <w:bCs/>
          <w:sz w:val="36"/>
          <w:szCs w:val="36"/>
        </w:rPr>
      </w:pPr>
      <w:r>
        <w:rPr>
          <w:rFonts w:ascii="宋体" w:hAnsi="宋体" w:hint="eastAsia"/>
          <w:bCs/>
          <w:sz w:val="36"/>
          <w:szCs w:val="36"/>
        </w:rPr>
        <w:t>三、支出决算表</w:t>
      </w:r>
    </w:p>
    <w:p w:rsidR="00771D7C" w:rsidRDefault="00993332">
      <w:pPr>
        <w:spacing w:line="550" w:lineRule="exact"/>
        <w:rPr>
          <w:rFonts w:ascii="宋体" w:hAnsi="宋体"/>
          <w:bCs/>
          <w:sz w:val="36"/>
          <w:szCs w:val="36"/>
        </w:rPr>
      </w:pPr>
      <w:r>
        <w:rPr>
          <w:rFonts w:ascii="宋体" w:hAnsi="宋体" w:hint="eastAsia"/>
          <w:bCs/>
          <w:sz w:val="36"/>
          <w:szCs w:val="36"/>
        </w:rPr>
        <w:t>四、财政拨款收入支出决算总表</w:t>
      </w:r>
    </w:p>
    <w:p w:rsidR="00771D7C" w:rsidRDefault="00993332">
      <w:pPr>
        <w:spacing w:line="550" w:lineRule="exact"/>
        <w:rPr>
          <w:rFonts w:ascii="宋体" w:hAnsi="宋体"/>
          <w:bCs/>
          <w:sz w:val="36"/>
          <w:szCs w:val="36"/>
        </w:rPr>
      </w:pPr>
      <w:r>
        <w:rPr>
          <w:rFonts w:ascii="宋体" w:hAnsi="宋体" w:hint="eastAsia"/>
          <w:bCs/>
          <w:sz w:val="36"/>
          <w:szCs w:val="36"/>
        </w:rPr>
        <w:t>五、一般公共预算财政拨款支出决算表</w:t>
      </w:r>
    </w:p>
    <w:p w:rsidR="00771D7C" w:rsidRDefault="00993332">
      <w:pPr>
        <w:spacing w:line="550" w:lineRule="exact"/>
        <w:rPr>
          <w:rFonts w:ascii="宋体" w:hAnsi="宋体"/>
          <w:bCs/>
          <w:sz w:val="36"/>
          <w:szCs w:val="36"/>
        </w:rPr>
      </w:pPr>
      <w:r>
        <w:rPr>
          <w:rFonts w:ascii="宋体" w:hAnsi="宋体" w:hint="eastAsia"/>
          <w:bCs/>
          <w:sz w:val="36"/>
          <w:szCs w:val="36"/>
        </w:rPr>
        <w:t>六、一般公共预算财政拨款基本支出决算明细表</w:t>
      </w:r>
    </w:p>
    <w:p w:rsidR="00771D7C" w:rsidRDefault="00993332">
      <w:pPr>
        <w:spacing w:line="550" w:lineRule="exact"/>
        <w:rPr>
          <w:rFonts w:ascii="宋体" w:hAnsi="宋体"/>
          <w:bCs/>
          <w:sz w:val="36"/>
          <w:szCs w:val="36"/>
        </w:rPr>
      </w:pPr>
      <w:r>
        <w:rPr>
          <w:rFonts w:ascii="宋体" w:hAnsi="宋体" w:hint="eastAsia"/>
          <w:bCs/>
          <w:sz w:val="36"/>
          <w:szCs w:val="36"/>
        </w:rPr>
        <w:lastRenderedPageBreak/>
        <w:t>七、政府性基金预算财政拨款收入支出决算表</w:t>
      </w:r>
    </w:p>
    <w:p w:rsidR="00771D7C" w:rsidRDefault="00993332">
      <w:pPr>
        <w:spacing w:line="550" w:lineRule="exact"/>
        <w:rPr>
          <w:rFonts w:ascii="宋体" w:hAnsi="宋体"/>
          <w:b/>
          <w:sz w:val="36"/>
          <w:szCs w:val="36"/>
        </w:rPr>
      </w:pPr>
      <w:r>
        <w:rPr>
          <w:rFonts w:ascii="宋体" w:hAnsi="宋体" w:hint="eastAsia"/>
          <w:bCs/>
          <w:sz w:val="36"/>
          <w:szCs w:val="36"/>
        </w:rPr>
        <w:t>八、国有资本经营预算财政拨款支出决算表</w:t>
      </w:r>
    </w:p>
    <w:p w:rsidR="00771D7C" w:rsidRDefault="00771D7C">
      <w:pPr>
        <w:spacing w:line="550" w:lineRule="exact"/>
        <w:rPr>
          <w:rFonts w:ascii="宋体" w:hAnsi="宋体"/>
          <w:b/>
          <w:sz w:val="36"/>
          <w:szCs w:val="36"/>
        </w:rPr>
      </w:pPr>
    </w:p>
    <w:p w:rsidR="00771D7C" w:rsidRDefault="00771D7C">
      <w:pPr>
        <w:rPr>
          <w:rFonts w:ascii="宋体" w:hAnsi="宋体"/>
          <w:b/>
          <w:sz w:val="36"/>
          <w:szCs w:val="36"/>
        </w:rPr>
      </w:pPr>
    </w:p>
    <w:p w:rsidR="00771D7C" w:rsidRDefault="00993332">
      <w:pPr>
        <w:adjustRightInd w:val="0"/>
        <w:snapToGrid w:val="0"/>
        <w:spacing w:line="360" w:lineRule="auto"/>
        <w:jc w:val="center"/>
        <w:rPr>
          <w:rFonts w:ascii="黑体" w:eastAsia="黑体" w:hAnsi="黑体"/>
          <w:szCs w:val="32"/>
        </w:rPr>
      </w:pPr>
      <w:r>
        <w:rPr>
          <w:rFonts w:ascii="宋体" w:hAnsi="宋体" w:hint="eastAsia"/>
          <w:b/>
          <w:sz w:val="36"/>
          <w:szCs w:val="36"/>
        </w:rPr>
        <w:br w:type="page"/>
      </w:r>
      <w:r>
        <w:rPr>
          <w:rFonts w:ascii="黑体" w:eastAsia="黑体" w:hAnsi="黑体" w:hint="eastAsia"/>
          <w:szCs w:val="32"/>
        </w:rPr>
        <w:lastRenderedPageBreak/>
        <w:t>第一部分 上海交通大学安徽（淮北）陶铝新材料研究院概况</w:t>
      </w:r>
    </w:p>
    <w:p w:rsidR="00771D7C" w:rsidRDefault="00993332">
      <w:pPr>
        <w:ind w:firstLineChars="200" w:firstLine="628"/>
        <w:rPr>
          <w:rFonts w:ascii="黑体" w:eastAsia="黑体" w:hAnsi="黑体"/>
          <w:szCs w:val="32"/>
        </w:rPr>
      </w:pPr>
      <w:r>
        <w:rPr>
          <w:rFonts w:ascii="黑体" w:eastAsia="黑体" w:hAnsi="黑体" w:hint="eastAsia"/>
          <w:szCs w:val="32"/>
        </w:rPr>
        <w:t>一、主要职责</w:t>
      </w:r>
    </w:p>
    <w:p w:rsidR="00771D7C" w:rsidRDefault="00993332">
      <w:pPr>
        <w:spacing w:line="580" w:lineRule="exact"/>
        <w:ind w:firstLineChars="200" w:firstLine="628"/>
        <w:rPr>
          <w:rFonts w:ascii="黑体" w:eastAsia="黑体" w:hAnsi="黑体"/>
          <w:szCs w:val="32"/>
        </w:rPr>
      </w:pPr>
      <w:r>
        <w:rPr>
          <w:rStyle w:val="font71"/>
          <w:rFonts w:eastAsia="仿宋_GB2312" w:hint="eastAsia"/>
          <w:color w:val="000000"/>
          <w:sz w:val="32"/>
          <w:szCs w:val="32"/>
        </w:rPr>
        <w:t>负责陶铝新材料产业发展战略和开展产业规划研究，咨询，负责科技发展方向，研发领域，研发项目的指导，负责培养，引进研发人才以及提供咨询和指导意见，组织开展陶铝新材料的学术交流活动，促进技术交流。</w:t>
      </w:r>
    </w:p>
    <w:p w:rsidR="00771D7C" w:rsidRDefault="00993332">
      <w:pPr>
        <w:ind w:firstLineChars="200" w:firstLine="628"/>
        <w:rPr>
          <w:rFonts w:ascii="黑体" w:eastAsia="黑体" w:hAnsi="黑体"/>
          <w:szCs w:val="32"/>
        </w:rPr>
      </w:pPr>
      <w:r>
        <w:rPr>
          <w:rFonts w:ascii="黑体" w:eastAsia="黑体" w:hAnsi="黑体" w:hint="eastAsia"/>
          <w:szCs w:val="32"/>
        </w:rPr>
        <w:t>二、单位决算构成</w:t>
      </w:r>
    </w:p>
    <w:p w:rsidR="00771D7C" w:rsidRDefault="00993332" w:rsidP="00E278BA">
      <w:pPr>
        <w:ind w:firstLineChars="200" w:firstLine="628"/>
        <w:rPr>
          <w:rFonts w:ascii="仿宋_GB2312" w:hAnsi="仿宋"/>
          <w:szCs w:val="32"/>
        </w:rPr>
      </w:pPr>
      <w:r>
        <w:rPr>
          <w:rFonts w:ascii="仿宋_GB2312" w:hAnsi="仿宋" w:hint="eastAsia"/>
          <w:szCs w:val="32"/>
        </w:rPr>
        <w:t>上海交通大学安徽（淮北）陶铝新材料研究院2022年度单位决算仅包括单位本级决算，无其他下属单位决算。具体情况见下表：</w:t>
      </w:r>
    </w:p>
    <w:tbl>
      <w:tblPr>
        <w:tblW w:w="0" w:type="auto"/>
        <w:tblInd w:w="828" w:type="dxa"/>
        <w:shd w:val="clear" w:color="auto" w:fill="FFFFFF"/>
        <w:tblLayout w:type="fixed"/>
        <w:tblCellMar>
          <w:left w:w="0" w:type="dxa"/>
          <w:right w:w="0" w:type="dxa"/>
        </w:tblCellMar>
        <w:tblLook w:val="04A0"/>
      </w:tblPr>
      <w:tblGrid>
        <w:gridCol w:w="1389"/>
        <w:gridCol w:w="5837"/>
      </w:tblGrid>
      <w:tr w:rsidR="00771D7C">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71D7C" w:rsidRDefault="00993332">
            <w:pPr>
              <w:jc w:val="center"/>
              <w:rPr>
                <w:color w:val="000000"/>
                <w:sz w:val="24"/>
              </w:rPr>
            </w:pPr>
            <w:r>
              <w:rPr>
                <w:color w:val="000000"/>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1D7C" w:rsidRDefault="00993332">
            <w:pPr>
              <w:jc w:val="center"/>
              <w:rPr>
                <w:color w:val="000000"/>
                <w:sz w:val="24"/>
              </w:rPr>
            </w:pPr>
            <w:r>
              <w:rPr>
                <w:color w:val="000000"/>
                <w:sz w:val="24"/>
              </w:rPr>
              <w:t>单位名称</w:t>
            </w:r>
          </w:p>
        </w:tc>
      </w:tr>
      <w:tr w:rsidR="00771D7C">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71D7C" w:rsidRDefault="00993332">
            <w:pPr>
              <w:jc w:val="center"/>
              <w:rPr>
                <w:color w:val="000000"/>
                <w:sz w:val="24"/>
              </w:rPr>
            </w:pPr>
            <w:r>
              <w:rPr>
                <w:color w:val="000000"/>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1D7C" w:rsidRDefault="00993332">
            <w:pPr>
              <w:rPr>
                <w:color w:val="000000"/>
                <w:sz w:val="24"/>
              </w:rPr>
            </w:pPr>
            <w:r>
              <w:rPr>
                <w:color w:val="000000"/>
                <w:sz w:val="24"/>
                <w:szCs w:val="24"/>
              </w:rPr>
              <w:t>上海交通大学安徽（淮北）陶铝新材料研究院</w:t>
            </w:r>
          </w:p>
        </w:tc>
      </w:tr>
    </w:tbl>
    <w:p w:rsidR="00771D7C" w:rsidRDefault="00771D7C">
      <w:pPr>
        <w:ind w:firstLineChars="200" w:firstLine="628"/>
        <w:rPr>
          <w:rFonts w:ascii="仿宋_GB2312" w:hAnsi="仿宋"/>
          <w:szCs w:val="32"/>
        </w:rPr>
      </w:pPr>
    </w:p>
    <w:p w:rsidR="00771D7C" w:rsidRDefault="00993332">
      <w:pPr>
        <w:adjustRightInd w:val="0"/>
        <w:snapToGrid w:val="0"/>
        <w:spacing w:line="360" w:lineRule="auto"/>
        <w:jc w:val="center"/>
        <w:rPr>
          <w:rFonts w:ascii="黑体" w:eastAsia="黑体" w:hAnsi="黑体"/>
          <w:szCs w:val="32"/>
        </w:rPr>
      </w:pPr>
      <w:r>
        <w:rPr>
          <w:rFonts w:ascii="黑体" w:eastAsia="黑体" w:hAnsi="黑体" w:hint="eastAsia"/>
          <w:szCs w:val="32"/>
        </w:rPr>
        <w:t>第二部分 上海交通大学安徽（淮北）陶铝新材料研究院2022年度单位决算情况说明</w:t>
      </w:r>
    </w:p>
    <w:p w:rsidR="00771D7C" w:rsidRDefault="00993332">
      <w:pPr>
        <w:ind w:firstLineChars="200" w:firstLine="628"/>
        <w:rPr>
          <w:rFonts w:ascii="黑体" w:eastAsia="黑体" w:hAnsi="黑体"/>
          <w:szCs w:val="32"/>
        </w:rPr>
      </w:pPr>
      <w:r>
        <w:rPr>
          <w:rFonts w:ascii="黑体" w:eastAsia="黑体" w:hAnsi="黑体" w:hint="eastAsia"/>
          <w:szCs w:val="32"/>
        </w:rPr>
        <w:t>一、收入支出决算总体情况说明</w:t>
      </w:r>
    </w:p>
    <w:p w:rsidR="00771D7C" w:rsidRDefault="00993332">
      <w:pPr>
        <w:ind w:firstLineChars="200" w:firstLine="628"/>
        <w:rPr>
          <w:rFonts w:ascii="仿宋_GB2312" w:hAnsi="仿宋"/>
          <w:szCs w:val="32"/>
        </w:rPr>
      </w:pPr>
      <w:r>
        <w:rPr>
          <w:rFonts w:ascii="仿宋_GB2312" w:hAnsi="仿宋" w:hint="eastAsia"/>
          <w:szCs w:val="32"/>
        </w:rPr>
        <w:t>2022年度收入总计68.08万元（含使用非财政拨款结余、年初结转和结余）、支出总计68.08万元（含结余分配、年末结转和结余）。与2021年相比，收入总计增加17万元，增长33.3%，主要原因是</w:t>
      </w:r>
      <w:r w:rsidR="00582694">
        <w:rPr>
          <w:rFonts w:hint="eastAsia"/>
          <w:szCs w:val="32"/>
        </w:rPr>
        <w:t>政策性调资人员经费</w:t>
      </w:r>
      <w:r>
        <w:rPr>
          <w:szCs w:val="32"/>
        </w:rPr>
        <w:t>增加</w:t>
      </w:r>
      <w:r w:rsidR="00582694">
        <w:rPr>
          <w:rFonts w:hint="eastAsia"/>
          <w:szCs w:val="32"/>
        </w:rPr>
        <w:t>因素</w:t>
      </w:r>
      <w:r>
        <w:rPr>
          <w:rFonts w:hint="eastAsia"/>
          <w:szCs w:val="32"/>
        </w:rPr>
        <w:t>；支出</w:t>
      </w:r>
      <w:r>
        <w:rPr>
          <w:rFonts w:ascii="仿宋_GB2312" w:hAnsi="仿宋" w:hint="eastAsia"/>
          <w:szCs w:val="32"/>
        </w:rPr>
        <w:t>总计增加17万元，增长33.3%，</w:t>
      </w:r>
      <w:r w:rsidR="00582694">
        <w:rPr>
          <w:rFonts w:ascii="仿宋_GB2312" w:hAnsi="仿宋" w:hint="eastAsia"/>
          <w:szCs w:val="32"/>
        </w:rPr>
        <w:t>主要原因是</w:t>
      </w:r>
      <w:r w:rsidR="00582694">
        <w:rPr>
          <w:rFonts w:hint="eastAsia"/>
          <w:szCs w:val="32"/>
        </w:rPr>
        <w:t>政策性调资人员经费</w:t>
      </w:r>
      <w:r w:rsidR="00582694">
        <w:rPr>
          <w:szCs w:val="32"/>
        </w:rPr>
        <w:t>增加</w:t>
      </w:r>
      <w:r w:rsidR="00582694">
        <w:rPr>
          <w:rFonts w:hint="eastAsia"/>
          <w:szCs w:val="32"/>
        </w:rPr>
        <w:t>因素</w:t>
      </w:r>
      <w:r>
        <w:rPr>
          <w:szCs w:val="32"/>
        </w:rPr>
        <w:t>。</w:t>
      </w:r>
    </w:p>
    <w:p w:rsidR="00771D7C" w:rsidRDefault="00993332">
      <w:pPr>
        <w:ind w:firstLineChars="200" w:firstLine="628"/>
        <w:rPr>
          <w:rFonts w:ascii="黑体" w:eastAsia="黑体" w:hAnsi="仿宋"/>
          <w:szCs w:val="32"/>
        </w:rPr>
      </w:pPr>
      <w:r>
        <w:rPr>
          <w:rFonts w:ascii="黑体" w:eastAsia="黑体" w:hAnsi="仿宋" w:hint="eastAsia"/>
          <w:szCs w:val="32"/>
        </w:rPr>
        <w:t>二、收入决算情况说明</w:t>
      </w:r>
    </w:p>
    <w:p w:rsidR="00771D7C" w:rsidRDefault="00993332">
      <w:pPr>
        <w:ind w:firstLineChars="200" w:firstLine="628"/>
        <w:rPr>
          <w:rFonts w:ascii="仿宋_GB2312" w:hAnsi="仿宋"/>
          <w:szCs w:val="32"/>
        </w:rPr>
      </w:pPr>
      <w:r>
        <w:rPr>
          <w:rFonts w:ascii="仿宋_GB2312" w:hAnsi="仿宋" w:hint="eastAsia"/>
          <w:szCs w:val="32"/>
        </w:rPr>
        <w:lastRenderedPageBreak/>
        <w:t>2022年度收入合计68.08万元，其中：财政拨款收入68.08万元，占100%；事业收入0万元，占0%；经营收入0万元，占0%；其他收入0万元，占0%。</w:t>
      </w:r>
    </w:p>
    <w:p w:rsidR="00771D7C" w:rsidRDefault="00993332">
      <w:pPr>
        <w:ind w:firstLineChars="200" w:firstLine="628"/>
        <w:rPr>
          <w:rFonts w:ascii="黑体" w:eastAsia="黑体" w:hAnsi="仿宋"/>
          <w:szCs w:val="32"/>
        </w:rPr>
      </w:pPr>
      <w:r>
        <w:rPr>
          <w:rFonts w:ascii="黑体" w:eastAsia="黑体" w:hAnsi="仿宋" w:hint="eastAsia"/>
          <w:szCs w:val="32"/>
        </w:rPr>
        <w:t>三、支出决算情况说明</w:t>
      </w:r>
    </w:p>
    <w:p w:rsidR="00771D7C" w:rsidRDefault="00993332">
      <w:pPr>
        <w:ind w:firstLineChars="200" w:firstLine="628"/>
        <w:rPr>
          <w:rFonts w:ascii="仿宋_GB2312" w:hAnsi="仿宋"/>
          <w:szCs w:val="32"/>
        </w:rPr>
      </w:pPr>
      <w:r>
        <w:rPr>
          <w:rFonts w:ascii="仿宋_GB2312" w:hAnsi="仿宋" w:hint="eastAsia"/>
          <w:szCs w:val="32"/>
        </w:rPr>
        <w:t>2022年度支出合计68.08万元，其中：基本支出68.08万元，占100%；项目支出0万元，占0%；经营支出0万元，占0%。</w:t>
      </w:r>
    </w:p>
    <w:p w:rsidR="00771D7C" w:rsidRDefault="00993332">
      <w:pPr>
        <w:ind w:firstLineChars="200" w:firstLine="628"/>
        <w:rPr>
          <w:rFonts w:ascii="黑体" w:eastAsia="黑体" w:hAnsi="黑体" w:cs="黑体"/>
          <w:bCs/>
          <w:szCs w:val="32"/>
        </w:rPr>
      </w:pPr>
      <w:r>
        <w:rPr>
          <w:rFonts w:ascii="黑体" w:eastAsia="黑体" w:hAnsi="黑体" w:cs="黑体" w:hint="eastAsia"/>
          <w:bCs/>
          <w:szCs w:val="32"/>
        </w:rPr>
        <w:t>四、财政拨款收入支出决算总体情况说明</w:t>
      </w:r>
    </w:p>
    <w:p w:rsidR="00771D7C" w:rsidRDefault="00993332">
      <w:pPr>
        <w:ind w:firstLineChars="200" w:firstLine="628"/>
        <w:rPr>
          <w:rFonts w:ascii="黑体" w:eastAsia="黑体" w:hAnsi="仿宋"/>
          <w:szCs w:val="32"/>
        </w:rPr>
      </w:pPr>
      <w:r>
        <w:rPr>
          <w:rFonts w:ascii="仿宋_GB2312" w:hAnsi="仿宋_GB2312" w:cs="仿宋_GB2312" w:hint="eastAsia"/>
          <w:bCs/>
          <w:szCs w:val="32"/>
        </w:rPr>
        <w:t>2022年度财政拨款收入</w:t>
      </w:r>
      <w:r>
        <w:rPr>
          <w:rFonts w:ascii="仿宋_GB2312" w:hAnsi="仿宋" w:hint="eastAsia"/>
          <w:szCs w:val="32"/>
        </w:rPr>
        <w:t>总计68.08万元（含年初财政拨款结转和结余），支出总计68.08万元（含年末财政拨款结转和结余）。与2021年相比，财政拨款收入总计增加17万元，增长33.3%，主要原因是</w:t>
      </w:r>
      <w:r w:rsidR="00582694">
        <w:rPr>
          <w:rFonts w:hint="eastAsia"/>
          <w:szCs w:val="32"/>
        </w:rPr>
        <w:t>政策性调资人员经费</w:t>
      </w:r>
      <w:r w:rsidR="00582694">
        <w:rPr>
          <w:szCs w:val="32"/>
        </w:rPr>
        <w:t>增加</w:t>
      </w:r>
      <w:r w:rsidR="00582694">
        <w:rPr>
          <w:rFonts w:hint="eastAsia"/>
          <w:szCs w:val="32"/>
        </w:rPr>
        <w:t>因素</w:t>
      </w:r>
      <w:r w:rsidR="00582694">
        <w:rPr>
          <w:szCs w:val="32"/>
        </w:rPr>
        <w:t>。</w:t>
      </w:r>
      <w:r>
        <w:rPr>
          <w:rFonts w:hint="eastAsia"/>
          <w:szCs w:val="32"/>
        </w:rPr>
        <w:t>；支出</w:t>
      </w:r>
      <w:r>
        <w:rPr>
          <w:rFonts w:ascii="仿宋_GB2312" w:hAnsi="仿宋" w:hint="eastAsia"/>
          <w:szCs w:val="32"/>
        </w:rPr>
        <w:t>总计增加17万元，增长33.3%，主要原因</w:t>
      </w:r>
      <w:r w:rsidR="00582694">
        <w:rPr>
          <w:rFonts w:ascii="仿宋_GB2312" w:hAnsi="仿宋" w:hint="eastAsia"/>
          <w:szCs w:val="32"/>
        </w:rPr>
        <w:t>是</w:t>
      </w:r>
      <w:r w:rsidR="00582694">
        <w:rPr>
          <w:rFonts w:hint="eastAsia"/>
          <w:szCs w:val="32"/>
        </w:rPr>
        <w:t>政策性调资人员经费</w:t>
      </w:r>
      <w:r w:rsidR="00582694">
        <w:rPr>
          <w:szCs w:val="32"/>
        </w:rPr>
        <w:t>增加</w:t>
      </w:r>
      <w:r w:rsidR="00582694">
        <w:rPr>
          <w:rFonts w:hint="eastAsia"/>
          <w:szCs w:val="32"/>
        </w:rPr>
        <w:t>因素</w:t>
      </w:r>
      <w:r w:rsidR="00582694">
        <w:rPr>
          <w:szCs w:val="32"/>
        </w:rPr>
        <w:t>。</w:t>
      </w:r>
      <w:r>
        <w:rPr>
          <w:rFonts w:ascii="黑体" w:eastAsia="黑体" w:hAnsi="仿宋" w:hint="eastAsia"/>
          <w:szCs w:val="32"/>
        </w:rPr>
        <w:t>五、一般公共预算财政拨款支出决算情况说明</w:t>
      </w:r>
    </w:p>
    <w:p w:rsidR="00771D7C" w:rsidRDefault="00993332" w:rsidP="00E278BA">
      <w:pPr>
        <w:ind w:firstLineChars="200" w:firstLine="630"/>
        <w:rPr>
          <w:rFonts w:ascii="仿宋_GB2312" w:hAnsi="仿宋"/>
          <w:b/>
          <w:bCs/>
          <w:szCs w:val="32"/>
        </w:rPr>
      </w:pPr>
      <w:r>
        <w:rPr>
          <w:rFonts w:ascii="仿宋_GB2312" w:hAnsi="仿宋" w:hint="eastAsia"/>
          <w:b/>
          <w:bCs/>
          <w:szCs w:val="32"/>
        </w:rPr>
        <w:t>（一）一般公共预算财政拨款支出决算总体情况。</w:t>
      </w:r>
    </w:p>
    <w:p w:rsidR="00771D7C" w:rsidRDefault="00993332" w:rsidP="00582694">
      <w:pPr>
        <w:ind w:firstLineChars="200" w:firstLine="628"/>
        <w:rPr>
          <w:rFonts w:ascii="仿宋_GB2312" w:hAnsi="仿宋"/>
          <w:b/>
          <w:szCs w:val="32"/>
        </w:rPr>
      </w:pPr>
      <w:r>
        <w:rPr>
          <w:rFonts w:ascii="仿宋_GB2312" w:hAnsi="仿宋" w:hint="eastAsia"/>
          <w:szCs w:val="32"/>
        </w:rPr>
        <w:t>2022年度一般公共预算财政拨款支出68.08万元，占本年支出的100%。与2021年相比，一般公共预算财政拨款支出增加17万元，增长33.3%。主要原因</w:t>
      </w:r>
      <w:r w:rsidR="00582694">
        <w:rPr>
          <w:rFonts w:ascii="仿宋_GB2312" w:hAnsi="仿宋" w:hint="eastAsia"/>
          <w:szCs w:val="32"/>
        </w:rPr>
        <w:t>是</w:t>
      </w:r>
      <w:r w:rsidR="00582694">
        <w:rPr>
          <w:rFonts w:hint="eastAsia"/>
          <w:szCs w:val="32"/>
        </w:rPr>
        <w:t>政策性调资人员经费</w:t>
      </w:r>
      <w:r w:rsidR="00582694">
        <w:rPr>
          <w:szCs w:val="32"/>
        </w:rPr>
        <w:t>增加</w:t>
      </w:r>
      <w:r w:rsidR="00582694">
        <w:rPr>
          <w:rFonts w:hint="eastAsia"/>
          <w:szCs w:val="32"/>
        </w:rPr>
        <w:t>因素</w:t>
      </w:r>
      <w:r w:rsidR="00582694">
        <w:rPr>
          <w:szCs w:val="32"/>
        </w:rPr>
        <w:t>。</w:t>
      </w:r>
      <w:r>
        <w:rPr>
          <w:rFonts w:ascii="仿宋_GB2312" w:hAnsi="仿宋" w:hint="eastAsia"/>
          <w:b/>
          <w:szCs w:val="32"/>
        </w:rPr>
        <w:t>（二）一般公共预算财政拨款支出决算结构情况。</w:t>
      </w:r>
    </w:p>
    <w:p w:rsidR="00771D7C" w:rsidRDefault="00993332">
      <w:pPr>
        <w:ind w:firstLineChars="200" w:firstLine="628"/>
        <w:rPr>
          <w:rFonts w:ascii="仿宋_GB2312" w:hAnsi="仿宋"/>
          <w:szCs w:val="32"/>
        </w:rPr>
      </w:pPr>
      <w:r>
        <w:rPr>
          <w:rFonts w:ascii="仿宋_GB2312" w:hAnsi="仿宋" w:hint="eastAsia"/>
          <w:szCs w:val="32"/>
        </w:rPr>
        <w:t>2022年度一般公共预算财政拨款支出68.08万元，主要用于以下方面：</w:t>
      </w:r>
      <w:r>
        <w:rPr>
          <w:rFonts w:ascii="仿宋_GB2312" w:hAnsi="仿宋" w:hint="eastAsia"/>
          <w:b/>
          <w:szCs w:val="32"/>
        </w:rPr>
        <w:t>科学技术（类）</w:t>
      </w:r>
      <w:r>
        <w:rPr>
          <w:rFonts w:ascii="仿宋_GB2312" w:hAnsi="仿宋" w:hint="eastAsia"/>
          <w:szCs w:val="32"/>
        </w:rPr>
        <w:t>支出50.57万元，占74.3%；</w:t>
      </w:r>
      <w:r>
        <w:rPr>
          <w:rFonts w:ascii="仿宋_GB2312" w:hAnsi="仿宋" w:hint="eastAsia"/>
          <w:b/>
          <w:szCs w:val="32"/>
        </w:rPr>
        <w:t>社会保障和就业（类）</w:t>
      </w:r>
      <w:r>
        <w:rPr>
          <w:rFonts w:ascii="仿宋_GB2312" w:hAnsi="仿宋" w:hint="eastAsia"/>
          <w:szCs w:val="32"/>
        </w:rPr>
        <w:t>支出7.56万元，占11.1%；</w:t>
      </w:r>
      <w:r>
        <w:rPr>
          <w:rFonts w:ascii="仿宋_GB2312" w:hAnsi="仿宋" w:hint="eastAsia"/>
          <w:b/>
          <w:szCs w:val="32"/>
        </w:rPr>
        <w:t>住房保障（类）</w:t>
      </w:r>
      <w:r>
        <w:rPr>
          <w:rFonts w:ascii="仿宋_GB2312" w:hAnsi="仿宋" w:hint="eastAsia"/>
          <w:szCs w:val="32"/>
        </w:rPr>
        <w:t>支出6.22万元，占9.1%；</w:t>
      </w:r>
      <w:r>
        <w:rPr>
          <w:rFonts w:ascii="仿宋_GB2312" w:hAnsi="仿宋" w:hint="eastAsia"/>
          <w:b/>
          <w:szCs w:val="32"/>
        </w:rPr>
        <w:t>卫生健康（类）</w:t>
      </w:r>
      <w:r>
        <w:rPr>
          <w:rFonts w:ascii="仿宋_GB2312" w:hAnsi="仿宋" w:hint="eastAsia"/>
          <w:szCs w:val="32"/>
        </w:rPr>
        <w:t>支出3.73万元，占5.5%。</w:t>
      </w:r>
    </w:p>
    <w:p w:rsidR="00771D7C" w:rsidRDefault="00993332" w:rsidP="00E278BA">
      <w:pPr>
        <w:ind w:firstLineChars="200" w:firstLine="630"/>
        <w:rPr>
          <w:rFonts w:ascii="仿宋_GB2312" w:hAnsi="仿宋"/>
          <w:b/>
          <w:bCs/>
          <w:szCs w:val="32"/>
        </w:rPr>
      </w:pPr>
      <w:r>
        <w:rPr>
          <w:rFonts w:ascii="仿宋_GB2312" w:hAnsi="仿宋" w:hint="eastAsia"/>
          <w:b/>
          <w:bCs/>
          <w:szCs w:val="32"/>
        </w:rPr>
        <w:lastRenderedPageBreak/>
        <w:t>（三）一般公共预算财政拨款支出决算具体情况。</w:t>
      </w:r>
    </w:p>
    <w:p w:rsidR="00771D7C" w:rsidRDefault="00993332">
      <w:pPr>
        <w:ind w:firstLineChars="200" w:firstLine="628"/>
        <w:rPr>
          <w:rFonts w:ascii="仿宋_GB2312" w:hAnsi="仿宋"/>
          <w:szCs w:val="32"/>
        </w:rPr>
      </w:pPr>
      <w:r>
        <w:rPr>
          <w:rFonts w:ascii="仿宋_GB2312" w:hAnsi="仿宋" w:hint="eastAsia"/>
          <w:szCs w:val="32"/>
        </w:rPr>
        <w:t>2022年度一般公共预算财政拨款支出年初预算为68.5万元，支出决算为68.08万元，完成年初预算的99.4%。其中:基本支出68.08万元，占100%；项目支出0万元，占0%。具体情况如下：</w:t>
      </w:r>
    </w:p>
    <w:p w:rsidR="00582694" w:rsidRDefault="00993332">
      <w:pPr>
        <w:ind w:firstLineChars="200" w:firstLine="628"/>
        <w:rPr>
          <w:szCs w:val="32"/>
        </w:rPr>
      </w:pPr>
      <w:r>
        <w:rPr>
          <w:rFonts w:ascii="仿宋_GB2312" w:hAnsi="仿宋" w:hint="eastAsia"/>
          <w:szCs w:val="32"/>
        </w:rPr>
        <w:t>1.</w:t>
      </w:r>
      <w:r>
        <w:rPr>
          <w:rFonts w:ascii="仿宋_GB2312" w:hAnsi="仿宋" w:hint="eastAsia"/>
          <w:b/>
          <w:color w:val="000000"/>
          <w:szCs w:val="32"/>
        </w:rPr>
        <w:t>科学技术支出（类）基础研究（款）机构运行（项）</w:t>
      </w:r>
      <w:r>
        <w:rPr>
          <w:rFonts w:ascii="仿宋_GB2312" w:hAnsi="仿宋" w:hint="eastAsia"/>
          <w:szCs w:val="32"/>
        </w:rPr>
        <w:t>。年初预算为45.18万元，支出决算为50.57万元，完成年初预算的111.93%,决算数大于预算数的主要原</w:t>
      </w:r>
      <w:r w:rsidR="00582694">
        <w:rPr>
          <w:rFonts w:ascii="仿宋_GB2312" w:hAnsi="仿宋" w:hint="eastAsia"/>
          <w:szCs w:val="32"/>
        </w:rPr>
        <w:t>因是</w:t>
      </w:r>
      <w:r w:rsidR="00582694">
        <w:rPr>
          <w:rFonts w:hint="eastAsia"/>
          <w:szCs w:val="32"/>
        </w:rPr>
        <w:t>政策性调资人员经费</w:t>
      </w:r>
      <w:r w:rsidR="00582694">
        <w:rPr>
          <w:szCs w:val="32"/>
        </w:rPr>
        <w:t>增加</w:t>
      </w:r>
      <w:r w:rsidR="00582694">
        <w:rPr>
          <w:rFonts w:hint="eastAsia"/>
          <w:szCs w:val="32"/>
        </w:rPr>
        <w:t>因素</w:t>
      </w:r>
      <w:r w:rsidR="00582694">
        <w:rPr>
          <w:szCs w:val="32"/>
        </w:rPr>
        <w:t>。</w:t>
      </w:r>
    </w:p>
    <w:p w:rsidR="00771D7C" w:rsidRDefault="00993332">
      <w:pPr>
        <w:ind w:firstLineChars="200" w:firstLine="628"/>
        <w:rPr>
          <w:rFonts w:ascii="仿宋_GB2312" w:hAnsi="仿宋"/>
          <w:szCs w:val="32"/>
        </w:rPr>
      </w:pPr>
      <w:r>
        <w:rPr>
          <w:rFonts w:ascii="仿宋_GB2312" w:hAnsi="仿宋" w:hint="eastAsia"/>
          <w:szCs w:val="32"/>
        </w:rPr>
        <w:t>2.</w:t>
      </w:r>
      <w:r>
        <w:rPr>
          <w:rFonts w:ascii="仿宋_GB2312" w:hAnsi="仿宋" w:hint="eastAsia"/>
          <w:b/>
          <w:color w:val="000000"/>
          <w:szCs w:val="32"/>
        </w:rPr>
        <w:t>社会保障和就业支出（类）行政事业单位养老支出（款）机关事业单位基本养老保险缴费支出（项）</w:t>
      </w:r>
      <w:r>
        <w:rPr>
          <w:rFonts w:ascii="仿宋_GB2312" w:hAnsi="仿宋" w:hint="eastAsia"/>
          <w:szCs w:val="32"/>
        </w:rPr>
        <w:t>。年初预算为5.73万元，支出决算为5.73万元，完成年初预算的100%。</w:t>
      </w:r>
      <w:r w:rsidR="00E8449D">
        <w:rPr>
          <w:rFonts w:ascii="仿宋_GB2312" w:hAnsi="仿宋" w:hint="eastAsia"/>
          <w:szCs w:val="32"/>
        </w:rPr>
        <w:t>预算数与决算数一致。</w:t>
      </w:r>
    </w:p>
    <w:p w:rsidR="00771D7C" w:rsidRDefault="00993332">
      <w:pPr>
        <w:ind w:firstLineChars="200" w:firstLine="628"/>
        <w:rPr>
          <w:rFonts w:ascii="仿宋_GB2312" w:hAnsi="仿宋"/>
          <w:szCs w:val="32"/>
        </w:rPr>
      </w:pPr>
      <w:r>
        <w:rPr>
          <w:rFonts w:ascii="仿宋_GB2312" w:hAnsi="仿宋" w:hint="eastAsia"/>
          <w:szCs w:val="32"/>
        </w:rPr>
        <w:t>3.</w:t>
      </w:r>
      <w:r>
        <w:rPr>
          <w:rFonts w:ascii="仿宋_GB2312" w:hAnsi="仿宋" w:hint="eastAsia"/>
          <w:b/>
          <w:color w:val="000000"/>
          <w:szCs w:val="32"/>
        </w:rPr>
        <w:t>社会保障和就业支出（类）行政事业单位养老支出（款）机关事业单位职业年金缴费支出（项）</w:t>
      </w:r>
      <w:r>
        <w:rPr>
          <w:rFonts w:ascii="仿宋_GB2312" w:hAnsi="仿宋" w:hint="eastAsia"/>
          <w:b/>
          <w:szCs w:val="32"/>
        </w:rPr>
        <w:t>。</w:t>
      </w:r>
      <w:r>
        <w:rPr>
          <w:rFonts w:ascii="仿宋_GB2312" w:hAnsi="仿宋" w:hint="eastAsia"/>
          <w:szCs w:val="32"/>
        </w:rPr>
        <w:t>年初预算为2.87万元，支出决算为1.83万元，完成年初预算的63.8%，决算数小于预算数的主要原因是</w:t>
      </w:r>
      <w:r w:rsidR="00582694">
        <w:rPr>
          <w:rFonts w:ascii="仿宋_GB2312" w:hAnsi="仿宋" w:hint="eastAsia"/>
          <w:szCs w:val="32"/>
        </w:rPr>
        <w:t>人员减少因素</w:t>
      </w:r>
      <w:r>
        <w:rPr>
          <w:rFonts w:ascii="仿宋_GB2312" w:hAnsi="仿宋" w:hint="eastAsia"/>
          <w:szCs w:val="32"/>
        </w:rPr>
        <w:t>。</w:t>
      </w:r>
    </w:p>
    <w:p w:rsidR="00771D7C" w:rsidRDefault="00993332">
      <w:pPr>
        <w:ind w:firstLineChars="200" w:firstLine="628"/>
        <w:rPr>
          <w:rFonts w:ascii="仿宋_GB2312" w:hAnsi="仿宋"/>
          <w:bCs/>
          <w:color w:val="000000"/>
          <w:szCs w:val="32"/>
        </w:rPr>
      </w:pPr>
      <w:r>
        <w:rPr>
          <w:rFonts w:ascii="仿宋_GB2312" w:hAnsi="仿宋" w:hint="eastAsia"/>
          <w:szCs w:val="32"/>
        </w:rPr>
        <w:t>4.</w:t>
      </w:r>
      <w:r>
        <w:rPr>
          <w:rFonts w:ascii="仿宋_GB2312" w:hAnsi="仿宋" w:hint="eastAsia"/>
          <w:b/>
          <w:color w:val="000000"/>
          <w:szCs w:val="32"/>
        </w:rPr>
        <w:t>社会保障和就业（类）其他社会保障和就业支出（款）其他社会保障和就业支出（项）</w:t>
      </w:r>
      <w:r>
        <w:rPr>
          <w:rFonts w:ascii="仿宋_GB2312" w:hAnsi="仿宋" w:hint="eastAsia"/>
          <w:b/>
          <w:szCs w:val="32"/>
        </w:rPr>
        <w:t>。</w:t>
      </w:r>
      <w:r>
        <w:rPr>
          <w:rFonts w:ascii="仿宋_GB2312" w:hAnsi="仿宋" w:hint="eastAsia"/>
          <w:szCs w:val="32"/>
        </w:rPr>
        <w:t>年初预算为0.25万元，支出决算为0万元，完成年初预算的0%，决算数小于预算数的主要原因是</w:t>
      </w:r>
      <w:r w:rsidR="00582694">
        <w:rPr>
          <w:rFonts w:ascii="仿宋_GB2312" w:hAnsi="仿宋" w:hint="eastAsia"/>
          <w:szCs w:val="32"/>
        </w:rPr>
        <w:t>人员减少因素。</w:t>
      </w:r>
    </w:p>
    <w:p w:rsidR="00582694" w:rsidRDefault="00993332">
      <w:pPr>
        <w:ind w:firstLineChars="200" w:firstLine="628"/>
        <w:rPr>
          <w:rFonts w:ascii="仿宋_GB2312" w:hAnsi="仿宋"/>
          <w:szCs w:val="32"/>
        </w:rPr>
      </w:pPr>
      <w:r>
        <w:rPr>
          <w:rFonts w:ascii="仿宋_GB2312" w:hAnsi="仿宋" w:hint="eastAsia"/>
          <w:szCs w:val="32"/>
        </w:rPr>
        <w:t>5.</w:t>
      </w:r>
      <w:r>
        <w:rPr>
          <w:rFonts w:ascii="仿宋_GB2312" w:hAnsi="仿宋" w:hint="eastAsia"/>
          <w:b/>
          <w:color w:val="000000"/>
          <w:szCs w:val="32"/>
        </w:rPr>
        <w:t>卫生健康支出（类）行政事业单位医疗（款）事业单位医疗（项）</w:t>
      </w:r>
      <w:r>
        <w:rPr>
          <w:rFonts w:ascii="仿宋_GB2312" w:hAnsi="仿宋" w:hint="eastAsia"/>
          <w:b/>
          <w:szCs w:val="32"/>
        </w:rPr>
        <w:t>。</w:t>
      </w:r>
      <w:r>
        <w:rPr>
          <w:rFonts w:ascii="仿宋_GB2312" w:hAnsi="仿宋" w:hint="eastAsia"/>
          <w:szCs w:val="32"/>
        </w:rPr>
        <w:t>年初预算为3.01万元，支出决算为2.97万元，完成</w:t>
      </w:r>
      <w:r>
        <w:rPr>
          <w:rFonts w:ascii="仿宋_GB2312" w:hAnsi="仿宋" w:hint="eastAsia"/>
          <w:szCs w:val="32"/>
        </w:rPr>
        <w:lastRenderedPageBreak/>
        <w:t>年初预算的98.7%，决算数小于预算数的主要原因是</w:t>
      </w:r>
      <w:r w:rsidR="00582694">
        <w:rPr>
          <w:rFonts w:ascii="仿宋_GB2312" w:hAnsi="仿宋" w:hint="eastAsia"/>
          <w:szCs w:val="32"/>
        </w:rPr>
        <w:t>人员减少因素。</w:t>
      </w:r>
    </w:p>
    <w:p w:rsidR="00582694" w:rsidRDefault="00993332" w:rsidP="00582694">
      <w:pPr>
        <w:ind w:firstLineChars="200" w:firstLine="628"/>
        <w:rPr>
          <w:rFonts w:ascii="仿宋_GB2312" w:hAnsi="仿宋"/>
          <w:szCs w:val="32"/>
        </w:rPr>
      </w:pPr>
      <w:r>
        <w:rPr>
          <w:rFonts w:ascii="仿宋_GB2312" w:hAnsi="仿宋" w:hint="eastAsia"/>
          <w:szCs w:val="32"/>
        </w:rPr>
        <w:t>6.</w:t>
      </w:r>
      <w:r>
        <w:rPr>
          <w:rFonts w:ascii="仿宋_GB2312" w:hAnsi="仿宋" w:hint="eastAsia"/>
          <w:b/>
          <w:color w:val="000000"/>
          <w:szCs w:val="32"/>
        </w:rPr>
        <w:t>卫生健康支出（类）行政事业单位医疗（款）公务员医疗补助（项）</w:t>
      </w:r>
      <w:r>
        <w:rPr>
          <w:rFonts w:ascii="仿宋_GB2312" w:hAnsi="仿宋" w:hint="eastAsia"/>
          <w:b/>
          <w:szCs w:val="32"/>
        </w:rPr>
        <w:t>。</w:t>
      </w:r>
      <w:r>
        <w:rPr>
          <w:rFonts w:ascii="仿宋_GB2312" w:hAnsi="仿宋" w:hint="eastAsia"/>
          <w:szCs w:val="32"/>
        </w:rPr>
        <w:t>年初预算为1.07万元，支出决算为0.75万元，完成年初预算的70.1%，决算数小于预算数的主要原因是</w:t>
      </w:r>
      <w:r w:rsidR="00582694">
        <w:rPr>
          <w:rFonts w:ascii="仿宋_GB2312" w:hAnsi="仿宋" w:hint="eastAsia"/>
          <w:szCs w:val="32"/>
        </w:rPr>
        <w:t>人员减少因素。</w:t>
      </w:r>
    </w:p>
    <w:p w:rsidR="00582694" w:rsidRDefault="00993332" w:rsidP="00582694">
      <w:pPr>
        <w:ind w:firstLineChars="200" w:firstLine="628"/>
        <w:rPr>
          <w:rFonts w:ascii="仿宋_GB2312" w:hAnsi="仿宋"/>
          <w:szCs w:val="32"/>
        </w:rPr>
      </w:pPr>
      <w:r>
        <w:rPr>
          <w:rFonts w:ascii="仿宋_GB2312" w:hAnsi="仿宋" w:hint="eastAsia"/>
          <w:szCs w:val="32"/>
        </w:rPr>
        <w:t>7.</w:t>
      </w:r>
      <w:r>
        <w:rPr>
          <w:rFonts w:ascii="仿宋_GB2312" w:hAnsi="仿宋" w:hint="eastAsia"/>
          <w:b/>
          <w:color w:val="000000"/>
          <w:szCs w:val="32"/>
        </w:rPr>
        <w:t>住房保障支出（类）住房改革支出（款）住房公积金（项）</w:t>
      </w:r>
      <w:r>
        <w:rPr>
          <w:rFonts w:ascii="仿宋_GB2312" w:hAnsi="仿宋" w:hint="eastAsia"/>
          <w:b/>
          <w:szCs w:val="32"/>
        </w:rPr>
        <w:t>。</w:t>
      </w:r>
      <w:r>
        <w:rPr>
          <w:rFonts w:ascii="仿宋_GB2312" w:hAnsi="仿宋" w:hint="eastAsia"/>
          <w:szCs w:val="32"/>
        </w:rPr>
        <w:t>年初预算为5.67万元，支出决算为5.3万元，完成年初预算的93.5%，决算数小于预算数的主要原因是</w:t>
      </w:r>
      <w:r w:rsidR="00582694">
        <w:rPr>
          <w:rFonts w:ascii="仿宋_GB2312" w:hAnsi="仿宋" w:hint="eastAsia"/>
          <w:szCs w:val="32"/>
        </w:rPr>
        <w:t>人员减少因素。</w:t>
      </w:r>
    </w:p>
    <w:p w:rsidR="00771D7C" w:rsidRDefault="00993332" w:rsidP="00582694">
      <w:pPr>
        <w:ind w:firstLineChars="200" w:firstLine="628"/>
        <w:rPr>
          <w:rFonts w:ascii="仿宋_GB2312" w:hAnsi="仿宋"/>
          <w:szCs w:val="32"/>
        </w:rPr>
      </w:pPr>
      <w:r>
        <w:rPr>
          <w:rFonts w:ascii="仿宋_GB2312" w:hAnsi="仿宋" w:hint="eastAsia"/>
          <w:szCs w:val="32"/>
        </w:rPr>
        <w:t>8.</w:t>
      </w:r>
      <w:r>
        <w:rPr>
          <w:rFonts w:ascii="仿宋_GB2312" w:hAnsi="仿宋" w:hint="eastAsia"/>
          <w:b/>
          <w:color w:val="000000"/>
          <w:szCs w:val="32"/>
        </w:rPr>
        <w:t>住房保障支出（类）住房改革支出（款）购房补贴（项）</w:t>
      </w:r>
      <w:r>
        <w:rPr>
          <w:rFonts w:ascii="仿宋_GB2312" w:hAnsi="仿宋" w:hint="eastAsia"/>
          <w:b/>
          <w:szCs w:val="32"/>
        </w:rPr>
        <w:t>。</w:t>
      </w:r>
      <w:r>
        <w:rPr>
          <w:rFonts w:ascii="仿宋_GB2312" w:hAnsi="仿宋" w:hint="eastAsia"/>
          <w:szCs w:val="32"/>
        </w:rPr>
        <w:t>年初预算为4.72万元，支出决算为0.92万元，完成年初预算的19.5%，决算数小于预算数的主要原因是</w:t>
      </w:r>
      <w:r w:rsidR="00582694" w:rsidRPr="009A329C">
        <w:rPr>
          <w:rFonts w:hint="eastAsia"/>
          <w:color w:val="000000"/>
          <w:szCs w:val="32"/>
        </w:rPr>
        <w:t>减少人员经费因素</w:t>
      </w:r>
      <w:r w:rsidR="00E8449D">
        <w:rPr>
          <w:rFonts w:hint="eastAsia"/>
          <w:color w:val="000000"/>
          <w:szCs w:val="32"/>
        </w:rPr>
        <w:t>。</w:t>
      </w:r>
    </w:p>
    <w:p w:rsidR="00771D7C" w:rsidRDefault="00993332">
      <w:pPr>
        <w:ind w:firstLineChars="200" w:firstLine="628"/>
        <w:rPr>
          <w:rFonts w:ascii="黑体" w:eastAsia="黑体" w:hAnsi="仿宋"/>
          <w:szCs w:val="32"/>
        </w:rPr>
      </w:pPr>
      <w:r>
        <w:rPr>
          <w:rFonts w:ascii="黑体" w:eastAsia="黑体" w:hAnsi="仿宋" w:hint="eastAsia"/>
          <w:szCs w:val="32"/>
        </w:rPr>
        <w:t>六、一般公共预算财政拨款基本支出决算情况说明</w:t>
      </w:r>
    </w:p>
    <w:p w:rsidR="00771D7C" w:rsidRDefault="00993332">
      <w:pPr>
        <w:ind w:firstLineChars="200" w:firstLine="628"/>
        <w:rPr>
          <w:rFonts w:ascii="仿宋_GB2312" w:hAnsi="仿宋"/>
          <w:szCs w:val="32"/>
        </w:rPr>
      </w:pPr>
      <w:r>
        <w:rPr>
          <w:rFonts w:ascii="仿宋_GB2312" w:hAnsi="仿宋" w:hint="eastAsia"/>
          <w:szCs w:val="32"/>
        </w:rPr>
        <w:t>2022年度财政拨款基本支出68.08万元，其中：人员经费64.82万元，主要包括:基本工资、津贴补贴、奖金、伙食补助费、绩效工资、机关事业单位基本养老保险缴费、职业年金缴费、职工基本医疗保险缴费、公务员医疗补助缴费、住房公积金；公用经费3.26万元，主要包括：</w:t>
      </w:r>
      <w:r>
        <w:rPr>
          <w:color w:val="000000"/>
          <w:szCs w:val="32"/>
        </w:rPr>
        <w:t>办公费、</w:t>
      </w:r>
      <w:r>
        <w:rPr>
          <w:rFonts w:hint="eastAsia"/>
          <w:color w:val="000000"/>
          <w:szCs w:val="32"/>
        </w:rPr>
        <w:t>培训</w:t>
      </w:r>
      <w:r>
        <w:rPr>
          <w:color w:val="000000"/>
          <w:szCs w:val="32"/>
        </w:rPr>
        <w:t>费、工会经费、其他商品服务支出等</w:t>
      </w:r>
      <w:r>
        <w:rPr>
          <w:rFonts w:ascii="仿宋_GB2312" w:hAnsi="仿宋" w:hint="eastAsia"/>
          <w:szCs w:val="32"/>
        </w:rPr>
        <w:t>。</w:t>
      </w:r>
    </w:p>
    <w:p w:rsidR="00771D7C" w:rsidRDefault="00993332">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政府性基金预算财政拨款收入支出决算情况说明</w:t>
      </w:r>
    </w:p>
    <w:p w:rsidR="00771D7C" w:rsidRDefault="00993332">
      <w:pPr>
        <w:ind w:firstLineChars="200" w:firstLine="628"/>
        <w:rPr>
          <w:rFonts w:ascii="仿宋_GB2312" w:hAnsi="仿宋"/>
          <w:szCs w:val="32"/>
        </w:rPr>
      </w:pPr>
      <w:r>
        <w:rPr>
          <w:rFonts w:ascii="仿宋_GB2312" w:hAnsi="仿宋" w:hint="eastAsia"/>
          <w:szCs w:val="32"/>
        </w:rPr>
        <w:t>上海交通大学安徽（淮北）陶铝新材料研究院没有政府性基金预算收入，也没有使用政府性基金预算安排的支出。</w:t>
      </w:r>
    </w:p>
    <w:p w:rsidR="00771D7C" w:rsidRDefault="00993332">
      <w:pPr>
        <w:ind w:firstLineChars="200" w:firstLine="628"/>
        <w:rPr>
          <w:rFonts w:ascii="黑体" w:eastAsia="黑体" w:hAnsi="黑体"/>
          <w:szCs w:val="32"/>
        </w:rPr>
      </w:pPr>
      <w:r>
        <w:rPr>
          <w:rFonts w:ascii="黑体" w:eastAsia="黑体" w:hAnsi="黑体" w:hint="eastAsia"/>
          <w:szCs w:val="32"/>
        </w:rPr>
        <w:lastRenderedPageBreak/>
        <w:t>八、国有资本经营预算财政拨款支出情况说明</w:t>
      </w:r>
    </w:p>
    <w:p w:rsidR="00771D7C" w:rsidRDefault="00993332">
      <w:pPr>
        <w:ind w:firstLineChars="200" w:firstLine="628"/>
        <w:rPr>
          <w:rFonts w:ascii="仿宋_GB2312" w:hAnsi="仿宋"/>
          <w:szCs w:val="32"/>
        </w:rPr>
      </w:pPr>
      <w:r>
        <w:rPr>
          <w:rFonts w:ascii="仿宋_GB2312" w:hAnsi="仿宋" w:hint="eastAsia"/>
          <w:szCs w:val="32"/>
        </w:rPr>
        <w:t>上海交通大学安徽（淮北）陶铝新材料研究院没有使用国有资本经营预算财政拨款安排的支出。</w:t>
      </w:r>
    </w:p>
    <w:p w:rsidR="00771D7C" w:rsidRDefault="00993332">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九、其他重要事项情况说明</w:t>
      </w:r>
    </w:p>
    <w:p w:rsidR="00771D7C" w:rsidRDefault="00993332" w:rsidP="00E278BA">
      <w:pPr>
        <w:adjustRightInd w:val="0"/>
        <w:snapToGrid w:val="0"/>
        <w:spacing w:line="600" w:lineRule="exact"/>
        <w:ind w:firstLineChars="200" w:firstLine="630"/>
        <w:rPr>
          <w:rFonts w:ascii="仿宋_GB2312" w:hAnsi="楷体"/>
          <w:b/>
          <w:szCs w:val="32"/>
        </w:rPr>
      </w:pPr>
      <w:r>
        <w:rPr>
          <w:rFonts w:ascii="仿宋_GB2312" w:hAnsi="楷体" w:hint="eastAsia"/>
          <w:b/>
          <w:szCs w:val="32"/>
        </w:rPr>
        <w:t>（一）机关运行经费支出情况。</w:t>
      </w:r>
    </w:p>
    <w:p w:rsidR="00771D7C" w:rsidRDefault="00563AB6">
      <w:pPr>
        <w:ind w:firstLineChars="200" w:firstLine="628"/>
        <w:rPr>
          <w:rFonts w:ascii="仿宋_GB2312" w:hAnsi="仿宋"/>
          <w:szCs w:val="32"/>
        </w:rPr>
      </w:pPr>
      <w:r>
        <w:rPr>
          <w:rFonts w:ascii="仿宋_GB2312" w:hAnsi="仿宋" w:hint="eastAsia"/>
          <w:szCs w:val="32"/>
        </w:rPr>
        <w:t>上海交通大学安徽（淮北）陶铝新材料研究院</w:t>
      </w:r>
      <w:r w:rsidR="00582694">
        <w:rPr>
          <w:rFonts w:ascii="仿宋_GB2312" w:hAnsi="仿宋" w:hint="eastAsia"/>
          <w:szCs w:val="32"/>
        </w:rPr>
        <w:t>为</w:t>
      </w:r>
      <w:r w:rsidR="00993332">
        <w:rPr>
          <w:rFonts w:ascii="仿宋_GB2312" w:hAnsi="仿宋" w:hint="eastAsia"/>
          <w:szCs w:val="32"/>
        </w:rPr>
        <w:t>事业单位，按照财政部部门决算机关运行经费的口径，本年度机关运行经费为0。</w:t>
      </w:r>
    </w:p>
    <w:p w:rsidR="00771D7C" w:rsidRDefault="00993332" w:rsidP="00E278BA">
      <w:pPr>
        <w:adjustRightInd w:val="0"/>
        <w:snapToGrid w:val="0"/>
        <w:spacing w:line="600" w:lineRule="exact"/>
        <w:ind w:firstLineChars="200" w:firstLine="630"/>
        <w:rPr>
          <w:rFonts w:ascii="仿宋_GB2312" w:hAnsi="楷体"/>
          <w:b/>
          <w:szCs w:val="32"/>
        </w:rPr>
      </w:pPr>
      <w:r>
        <w:rPr>
          <w:rFonts w:ascii="仿宋_GB2312" w:hAnsi="楷体" w:hint="eastAsia"/>
          <w:b/>
          <w:szCs w:val="32"/>
        </w:rPr>
        <w:t>（二）政府采购支出情况。</w:t>
      </w:r>
    </w:p>
    <w:p w:rsidR="00771D7C" w:rsidRDefault="00993332">
      <w:pPr>
        <w:ind w:firstLineChars="200" w:firstLine="628"/>
        <w:rPr>
          <w:rFonts w:ascii="楷体_GB2312" w:eastAsia="楷体_GB2312" w:hAnsi="仿宋"/>
          <w:szCs w:val="32"/>
        </w:rPr>
      </w:pPr>
      <w:r>
        <w:rPr>
          <w:rFonts w:ascii="仿宋_GB2312" w:hAnsi="仿宋" w:hint="eastAsia"/>
          <w:szCs w:val="32"/>
        </w:rPr>
        <w:t xml:space="preserve"> 2022年度，上海交通大学安徽（淮北）陶铝新材料研究院政府采购支出总额0万元，其中：政府采购货物支出0万元、政府采购工程支出0万元、政府采购服务支出0万元。授予中小企业合同金额0万元，占政府采购支出总额的0%，其中：</w:t>
      </w:r>
      <w:r>
        <w:rPr>
          <w:rFonts w:ascii="仿宋" w:eastAsia="仿宋" w:hAnsi="仿宋" w:hint="eastAsia"/>
        </w:rPr>
        <w:t>授予小微企业合同金额0 万元，</w:t>
      </w:r>
      <w:r>
        <w:rPr>
          <w:rFonts w:ascii="仿宋_GB2312" w:hAnsi="仿宋" w:hint="eastAsia"/>
          <w:szCs w:val="32"/>
        </w:rPr>
        <w:t>占授予中小企业合同金额的0%；货物采购授予中小企业合同金额占货物支出金额的0%，工程采购授予中小企业合同金额占工程支出金额的0%，服务采购授予中小企业合同金额占服务支出金额的0%。</w:t>
      </w:r>
    </w:p>
    <w:p w:rsidR="00771D7C" w:rsidRDefault="00993332" w:rsidP="00E278BA">
      <w:pPr>
        <w:adjustRightInd w:val="0"/>
        <w:snapToGrid w:val="0"/>
        <w:spacing w:line="600" w:lineRule="exact"/>
        <w:ind w:firstLineChars="200" w:firstLine="630"/>
        <w:rPr>
          <w:rFonts w:ascii="仿宋_GB2312" w:hAnsi="楷体"/>
          <w:b/>
          <w:szCs w:val="32"/>
        </w:rPr>
      </w:pPr>
      <w:r>
        <w:rPr>
          <w:rFonts w:ascii="仿宋_GB2312" w:hAnsi="楷体" w:hint="eastAsia"/>
          <w:b/>
          <w:szCs w:val="32"/>
        </w:rPr>
        <w:t>（三）国有资产占有使用情况。</w:t>
      </w:r>
    </w:p>
    <w:p w:rsidR="00771D7C" w:rsidRDefault="00993332">
      <w:pPr>
        <w:adjustRightInd w:val="0"/>
        <w:snapToGrid w:val="0"/>
        <w:spacing w:line="600" w:lineRule="exact"/>
        <w:ind w:firstLineChars="200" w:firstLine="628"/>
        <w:rPr>
          <w:rFonts w:ascii="仿宋_GB2312" w:hAnsi="楷体"/>
          <w:b/>
          <w:szCs w:val="32"/>
        </w:rPr>
      </w:pPr>
      <w:r>
        <w:rPr>
          <w:rFonts w:ascii="仿宋_GB2312" w:hAnsi="楷体" w:hint="eastAsia"/>
          <w:szCs w:val="32"/>
        </w:rPr>
        <w:t>截至2022年12月31日，</w:t>
      </w:r>
      <w:r>
        <w:rPr>
          <w:rFonts w:ascii="仿宋_GB2312" w:hAnsi="仿宋" w:hint="eastAsia"/>
          <w:szCs w:val="32"/>
        </w:rPr>
        <w:t>上海交通大学安徽（淮北）陶铝新材料研究院共有车辆0辆，单价50万元以上的通用设备0台（套），单价100万元（含）以上设备（不含车辆）0台（套）。</w:t>
      </w:r>
      <w:r>
        <w:rPr>
          <w:rFonts w:ascii="仿宋_GB2312" w:hAnsi="仿宋"/>
          <w:szCs w:val="32"/>
        </w:rPr>
        <w:br/>
      </w:r>
      <w:r>
        <w:rPr>
          <w:rFonts w:ascii="仿宋_GB2312" w:hAnsi="仿宋" w:hint="eastAsia"/>
          <w:szCs w:val="32"/>
        </w:rPr>
        <w:lastRenderedPageBreak/>
        <w:t xml:space="preserve"> </w:t>
      </w:r>
      <w:r>
        <w:rPr>
          <w:rFonts w:ascii="仿宋_GB2312" w:hAnsi="仿宋" w:hint="eastAsia"/>
          <w:b/>
          <w:bCs/>
          <w:i/>
          <w:iCs/>
          <w:szCs w:val="32"/>
        </w:rPr>
        <w:t xml:space="preserve"> </w:t>
      </w:r>
      <w:r>
        <w:rPr>
          <w:rFonts w:ascii="仿宋_GB2312" w:hAnsi="仿宋" w:hint="eastAsia"/>
          <w:szCs w:val="32"/>
        </w:rPr>
        <w:t xml:space="preserve"> </w:t>
      </w:r>
      <w:r>
        <w:rPr>
          <w:rFonts w:ascii="仿宋_GB2312" w:hAnsi="楷体" w:hint="eastAsia"/>
          <w:b/>
          <w:szCs w:val="32"/>
        </w:rPr>
        <w:t>（四）关于2022年度绩效评价情况的说明</w:t>
      </w:r>
    </w:p>
    <w:p w:rsidR="00771D7C" w:rsidRDefault="00993332" w:rsidP="00E278BA">
      <w:pPr>
        <w:spacing w:line="560" w:lineRule="exact"/>
        <w:ind w:firstLineChars="200" w:firstLine="630"/>
        <w:rPr>
          <w:rFonts w:ascii="仿宋" w:eastAsia="仿宋" w:hAnsi="仿宋" w:cs="仿宋"/>
          <w:bCs/>
          <w:szCs w:val="32"/>
        </w:rPr>
      </w:pPr>
      <w:r>
        <w:rPr>
          <w:rFonts w:ascii="楷体" w:eastAsia="楷体" w:hAnsi="楷体" w:cs="楷体" w:hint="eastAsia"/>
          <w:b/>
          <w:bCs/>
          <w:szCs w:val="32"/>
        </w:rPr>
        <w:t>（1）绩效评价工作开展情况。</w:t>
      </w:r>
    </w:p>
    <w:p w:rsidR="00771D7C" w:rsidRDefault="00993332">
      <w:pPr>
        <w:adjustRightInd w:val="0"/>
        <w:spacing w:line="580" w:lineRule="exact"/>
        <w:ind w:firstLineChars="200" w:firstLine="628"/>
        <w:rPr>
          <w:rFonts w:ascii="仿宋_GB2312" w:hAnsi="仿宋_GB2312" w:cs="仿宋_GB2312"/>
          <w:szCs w:val="32"/>
        </w:rPr>
      </w:pPr>
      <w:r>
        <w:rPr>
          <w:rFonts w:ascii="仿宋_GB2312" w:hAnsi="仿宋_GB2312" w:cs="仿宋_GB2312" w:hint="eastAsia"/>
          <w:szCs w:val="32"/>
        </w:rPr>
        <w:t>根据预算绩效管理要求，我单位对2022年度纳入单位预算的项目支出全面开展了绩效自评，共0个项目，涉及资金0万元。组织对2022年度单位整体支出开展了绩效自评。评价结果显示，</w:t>
      </w:r>
      <w:r>
        <w:rPr>
          <w:rFonts w:hint="eastAsia"/>
          <w:color w:val="000000"/>
          <w:szCs w:val="32"/>
        </w:rPr>
        <w:t>基本支出</w:t>
      </w:r>
      <w:r>
        <w:rPr>
          <w:color w:val="000000"/>
          <w:szCs w:val="32"/>
        </w:rPr>
        <w:t>预算执行进度</w:t>
      </w:r>
      <w:r>
        <w:rPr>
          <w:color w:val="000000"/>
          <w:szCs w:val="32"/>
        </w:rPr>
        <w:t>100%</w:t>
      </w:r>
      <w:r>
        <w:rPr>
          <w:color w:val="000000"/>
          <w:szCs w:val="32"/>
        </w:rPr>
        <w:t>；达到了预期目标，提高了资金的使用效益。</w:t>
      </w:r>
    </w:p>
    <w:p w:rsidR="00771D7C" w:rsidRDefault="00993332" w:rsidP="00E278BA">
      <w:pPr>
        <w:spacing w:line="560" w:lineRule="exact"/>
        <w:ind w:firstLineChars="200" w:firstLine="630"/>
        <w:rPr>
          <w:rFonts w:ascii="楷体" w:eastAsia="楷体" w:hAnsi="楷体" w:cs="楷体"/>
          <w:bCs/>
          <w:szCs w:val="32"/>
          <w:highlight w:val="magenta"/>
        </w:rPr>
      </w:pPr>
      <w:r>
        <w:rPr>
          <w:rFonts w:ascii="仿宋_GB2312" w:hAnsi="仿宋_GB2312" w:cs="仿宋_GB2312" w:hint="eastAsia"/>
          <w:b/>
          <w:bCs/>
          <w:szCs w:val="32"/>
        </w:rPr>
        <w:t>（2）单位决算中项目绩效自评结果。</w:t>
      </w:r>
    </w:p>
    <w:p w:rsidR="00771D7C" w:rsidRDefault="00993332">
      <w:pPr>
        <w:spacing w:line="580" w:lineRule="exact"/>
        <w:ind w:firstLineChars="200" w:firstLine="628"/>
        <w:rPr>
          <w:rFonts w:hint="eastAsia"/>
          <w:szCs w:val="32"/>
        </w:rPr>
      </w:pPr>
      <w:r w:rsidRPr="00563AB6">
        <w:rPr>
          <w:szCs w:val="32"/>
        </w:rPr>
        <w:t>组织开展</w:t>
      </w:r>
      <w:r w:rsidRPr="00563AB6">
        <w:rPr>
          <w:szCs w:val="32"/>
        </w:rPr>
        <w:t>20</w:t>
      </w:r>
      <w:r w:rsidRPr="00563AB6">
        <w:rPr>
          <w:rFonts w:hint="eastAsia"/>
          <w:szCs w:val="32"/>
        </w:rPr>
        <w:t>2</w:t>
      </w:r>
      <w:r w:rsidR="002D13F4">
        <w:rPr>
          <w:rFonts w:hint="eastAsia"/>
          <w:szCs w:val="32"/>
        </w:rPr>
        <w:t>2</w:t>
      </w:r>
      <w:r w:rsidRPr="00563AB6">
        <w:rPr>
          <w:szCs w:val="32"/>
        </w:rPr>
        <w:t>年度</w:t>
      </w:r>
      <w:r w:rsidRPr="00563AB6">
        <w:rPr>
          <w:rFonts w:hint="eastAsia"/>
          <w:szCs w:val="32"/>
        </w:rPr>
        <w:t>单位</w:t>
      </w:r>
      <w:r w:rsidRPr="00563AB6">
        <w:rPr>
          <w:szCs w:val="32"/>
        </w:rPr>
        <w:t>整体支出绩效评价，对</w:t>
      </w:r>
      <w:r w:rsidRPr="00563AB6">
        <w:rPr>
          <w:rFonts w:hint="eastAsia"/>
          <w:szCs w:val="32"/>
        </w:rPr>
        <w:t>单位</w:t>
      </w:r>
      <w:r w:rsidRPr="00563AB6">
        <w:rPr>
          <w:szCs w:val="32"/>
        </w:rPr>
        <w:t>的基本支出进行了全面评价，基本支出能够做到厉行节约，严格标准；注重使用绩效，实现了预期目标，整体支出取得了明显的效果。</w:t>
      </w:r>
    </w:p>
    <w:p w:rsidR="00E8449D" w:rsidRPr="00E8449D" w:rsidRDefault="00E8449D" w:rsidP="00E8449D">
      <w:pPr>
        <w:pStyle w:val="a0"/>
        <w:ind w:firstLineChars="200" w:firstLine="628"/>
        <w:jc w:val="both"/>
        <w:rPr>
          <w:rFonts w:eastAsia="仿宋_GB2312"/>
          <w:sz w:val="32"/>
          <w:szCs w:val="32"/>
        </w:rPr>
      </w:pPr>
      <w:r w:rsidRPr="00E8449D">
        <w:rPr>
          <w:rFonts w:eastAsia="仿宋_GB2312" w:hint="eastAsia"/>
          <w:sz w:val="32"/>
          <w:szCs w:val="32"/>
        </w:rPr>
        <w:t>上海交通大学安徽（淮北）陶铝新材料研究院</w:t>
      </w:r>
      <w:r>
        <w:rPr>
          <w:rFonts w:eastAsia="仿宋_GB2312" w:hint="eastAsia"/>
          <w:sz w:val="32"/>
          <w:szCs w:val="32"/>
        </w:rPr>
        <w:t>无项目经费支出。</w:t>
      </w:r>
    </w:p>
    <w:p w:rsidR="00771D7C" w:rsidRDefault="00993332">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第四部分 名词解释</w:t>
      </w:r>
    </w:p>
    <w:p w:rsidR="00771D7C" w:rsidRDefault="00993332" w:rsidP="00E278BA">
      <w:pPr>
        <w:adjustRightInd w:val="0"/>
        <w:snapToGrid w:val="0"/>
        <w:spacing w:line="600" w:lineRule="exact"/>
        <w:ind w:firstLineChars="200" w:firstLine="630"/>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771D7C" w:rsidRDefault="00993332">
      <w:pPr>
        <w:adjustRightInd w:val="0"/>
        <w:snapToGrid w:val="0"/>
        <w:spacing w:line="600" w:lineRule="exact"/>
        <w:rPr>
          <w:rFonts w:ascii="仿宋_GB2312" w:hAnsi="仿宋"/>
          <w:szCs w:val="32"/>
        </w:rPr>
      </w:pPr>
      <w:r>
        <w:rPr>
          <w:rFonts w:ascii="仿宋_GB2312" w:hAnsi="黑体" w:hint="eastAsia"/>
          <w:b/>
          <w:bCs/>
          <w:szCs w:val="32"/>
        </w:rPr>
        <w:t xml:space="preserve">   </w:t>
      </w:r>
      <w:r>
        <w:rPr>
          <w:rFonts w:ascii="仿宋_GB2312" w:hAnsi="仿宋" w:hint="eastAsia"/>
          <w:szCs w:val="32"/>
        </w:rPr>
        <w:t xml:space="preserve"> </w:t>
      </w:r>
      <w:r>
        <w:rPr>
          <w:rFonts w:ascii="仿宋_GB2312" w:hAnsi="仿宋" w:hint="eastAsia"/>
          <w:b/>
          <w:bCs/>
          <w:szCs w:val="32"/>
        </w:rPr>
        <w:t>二</w:t>
      </w:r>
      <w:r>
        <w:rPr>
          <w:rFonts w:ascii="仿宋_GB2312" w:hAnsi="黑体" w:hint="eastAsia"/>
          <w:b/>
          <w:bCs/>
          <w:szCs w:val="32"/>
        </w:rPr>
        <w:t>、</w:t>
      </w:r>
      <w:r>
        <w:rPr>
          <w:rFonts w:ascii="仿宋_GB2312" w:hAnsi="仿宋" w:hint="eastAsia"/>
          <w:b/>
          <w:bCs/>
          <w:szCs w:val="32"/>
        </w:rPr>
        <w:t>事业收入：</w:t>
      </w:r>
      <w:r>
        <w:rPr>
          <w:rFonts w:ascii="仿宋_GB2312" w:hAnsi="仿宋" w:hint="eastAsia"/>
          <w:szCs w:val="32"/>
        </w:rPr>
        <w:t>指事业单位开展专业业务活动及辅助活动所取得的收入。</w:t>
      </w:r>
    </w:p>
    <w:p w:rsidR="00771D7C" w:rsidRDefault="00993332">
      <w:pPr>
        <w:adjustRightInd w:val="0"/>
        <w:snapToGrid w:val="0"/>
        <w:spacing w:line="600" w:lineRule="exact"/>
        <w:rPr>
          <w:rFonts w:ascii="仿宋_GB2312" w:hAnsi="黑体"/>
          <w:szCs w:val="32"/>
        </w:rPr>
      </w:pPr>
      <w:r>
        <w:rPr>
          <w:rFonts w:ascii="仿宋_GB2312" w:hAnsi="黑体" w:hint="eastAsia"/>
          <w:b/>
          <w:bCs/>
          <w:szCs w:val="32"/>
        </w:rPr>
        <w:t xml:space="preserve">  </w:t>
      </w:r>
      <w:r>
        <w:rPr>
          <w:rFonts w:ascii="仿宋_GB2312" w:hAnsi="黑体" w:hint="eastAsia"/>
          <w:b/>
          <w:szCs w:val="32"/>
        </w:rPr>
        <w:t xml:space="preserve">  三、基本支出：</w:t>
      </w:r>
      <w:r>
        <w:rPr>
          <w:rFonts w:ascii="仿宋_GB2312" w:hAnsi="黑体" w:hint="eastAsia"/>
          <w:szCs w:val="32"/>
        </w:rPr>
        <w:t>指单位为保障其机构正常运转、完成日常工作任务而发生的人员支出和公用支出。</w:t>
      </w:r>
    </w:p>
    <w:p w:rsidR="00771D7C" w:rsidRDefault="00993332" w:rsidP="00E278BA">
      <w:pPr>
        <w:pStyle w:val="a8"/>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lastRenderedPageBreak/>
        <w:t>四、项目支出：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hint="eastAsia"/>
          <w:sz w:val="32"/>
          <w:szCs w:val="32"/>
        </w:rPr>
        <w:br/>
        <w:t xml:space="preserve">    </w:t>
      </w:r>
      <w:r>
        <w:rPr>
          <w:rFonts w:ascii="仿宋_GB2312" w:eastAsia="仿宋_GB2312" w:hAnsi="黑体" w:hint="eastAsia"/>
          <w:b/>
          <w:sz w:val="32"/>
          <w:szCs w:val="32"/>
        </w:rPr>
        <w:t>五、“三公”经费：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771D7C" w:rsidRDefault="00993332" w:rsidP="00E278BA">
      <w:pPr>
        <w:pStyle w:val="a8"/>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六、机关运行经费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771D7C" w:rsidRDefault="00771D7C">
      <w:pPr>
        <w:pStyle w:val="a8"/>
        <w:spacing w:before="0" w:beforeAutospacing="0" w:after="0" w:afterAutospacing="0" w:line="600" w:lineRule="exact"/>
        <w:jc w:val="center"/>
        <w:rPr>
          <w:rFonts w:ascii="楷体_GB2312" w:eastAsia="楷体_GB2312" w:hAnsi="Times New Roman"/>
          <w:kern w:val="2"/>
          <w:sz w:val="32"/>
          <w:szCs w:val="32"/>
        </w:rPr>
      </w:pPr>
    </w:p>
    <w:p w:rsidR="00771D7C" w:rsidRDefault="00993332">
      <w:pPr>
        <w:adjustRightInd w:val="0"/>
        <w:snapToGrid w:val="0"/>
        <w:spacing w:line="600" w:lineRule="exact"/>
        <w:rPr>
          <w:rFonts w:ascii="黑体" w:eastAsia="黑体" w:hAnsi="黑体"/>
          <w:szCs w:val="32"/>
        </w:rPr>
      </w:pPr>
      <w:r>
        <w:rPr>
          <w:rFonts w:ascii="黑体" w:eastAsia="黑体" w:hAnsi="黑体" w:hint="eastAsia"/>
          <w:szCs w:val="32"/>
        </w:rPr>
        <w:t>附件：</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一、收入支出决算总表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二、收入决算表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三、支出决算表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四、财政拨款收入支出决算总表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lastRenderedPageBreak/>
        <w:t>五、一般公共预算财政拨款支出决算表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六、一般公共预算财政拨款基本支出决算明细表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七、政府性基金预算财政拨款收入支出决算表</w:t>
      </w:r>
    </w:p>
    <w:p w:rsidR="00771D7C" w:rsidRDefault="00993332" w:rsidP="00E278BA">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八、国有资本经营预算财政拨款支出决算表</w:t>
      </w:r>
    </w:p>
    <w:sectPr w:rsidR="00771D7C" w:rsidSect="00771D7C">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EE0" w:rsidRDefault="00C16EE0" w:rsidP="00771D7C">
      <w:r>
        <w:separator/>
      </w:r>
    </w:p>
  </w:endnote>
  <w:endnote w:type="continuationSeparator" w:id="0">
    <w:p w:rsidR="00C16EE0" w:rsidRDefault="00C16EE0" w:rsidP="00771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C" w:rsidRDefault="0060511F">
    <w:pPr>
      <w:pStyle w:val="a6"/>
      <w:framePr w:wrap="around" w:vAnchor="text" w:hAnchor="margin" w:xAlign="right" w:y="1"/>
      <w:rPr>
        <w:rStyle w:val="ab"/>
      </w:rPr>
    </w:pPr>
    <w:r>
      <w:fldChar w:fldCharType="begin"/>
    </w:r>
    <w:r w:rsidR="00993332">
      <w:rPr>
        <w:rStyle w:val="ab"/>
      </w:rPr>
      <w:instrText xml:space="preserve">PAGE  </w:instrText>
    </w:r>
    <w:r>
      <w:fldChar w:fldCharType="separate"/>
    </w:r>
    <w:r w:rsidR="00993332">
      <w:rPr>
        <w:rStyle w:val="ab"/>
      </w:rPr>
      <w:t>1</w:t>
    </w:r>
    <w:r>
      <w:fldChar w:fldCharType="end"/>
    </w:r>
  </w:p>
  <w:p w:rsidR="00771D7C" w:rsidRDefault="00771D7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C" w:rsidRDefault="00993332">
    <w:pPr>
      <w:pStyle w:val="a6"/>
      <w:framePr w:wrap="around" w:vAnchor="text" w:hAnchor="margin" w:xAlign="right" w:y="1"/>
      <w:rPr>
        <w:rStyle w:val="ab"/>
        <w:rFonts w:ascii="仿宋_GB2312"/>
        <w:sz w:val="28"/>
      </w:rPr>
    </w:pPr>
    <w:r>
      <w:rPr>
        <w:rStyle w:val="ab"/>
        <w:rFonts w:ascii="仿宋_GB2312" w:hint="eastAsia"/>
        <w:sz w:val="28"/>
      </w:rPr>
      <w:t>-</w:t>
    </w:r>
    <w:r w:rsidR="0060511F">
      <w:rPr>
        <w:rFonts w:ascii="仿宋_GB2312" w:hint="eastAsia"/>
        <w:sz w:val="28"/>
        <w:szCs w:val="28"/>
      </w:rPr>
      <w:fldChar w:fldCharType="begin"/>
    </w:r>
    <w:r>
      <w:rPr>
        <w:rStyle w:val="ab"/>
        <w:rFonts w:ascii="仿宋_GB2312" w:hint="eastAsia"/>
        <w:sz w:val="28"/>
        <w:szCs w:val="28"/>
      </w:rPr>
      <w:instrText xml:space="preserve"> PAGE </w:instrText>
    </w:r>
    <w:r w:rsidR="0060511F">
      <w:rPr>
        <w:rFonts w:ascii="仿宋_GB2312" w:hint="eastAsia"/>
        <w:sz w:val="28"/>
        <w:szCs w:val="28"/>
      </w:rPr>
      <w:fldChar w:fldCharType="separate"/>
    </w:r>
    <w:r w:rsidR="00E8449D">
      <w:rPr>
        <w:rStyle w:val="ab"/>
        <w:rFonts w:ascii="仿宋_GB2312"/>
        <w:noProof/>
        <w:sz w:val="28"/>
        <w:szCs w:val="28"/>
      </w:rPr>
      <w:t>7</w:t>
    </w:r>
    <w:r w:rsidR="0060511F">
      <w:rPr>
        <w:rFonts w:ascii="仿宋_GB2312" w:hint="eastAsia"/>
        <w:sz w:val="28"/>
        <w:szCs w:val="28"/>
      </w:rPr>
      <w:fldChar w:fldCharType="end"/>
    </w:r>
    <w:r>
      <w:rPr>
        <w:rStyle w:val="ab"/>
        <w:rFonts w:ascii="仿宋_GB2312" w:hint="eastAsia"/>
        <w:sz w:val="28"/>
        <w:szCs w:val="28"/>
      </w:rPr>
      <w:t>-</w:t>
    </w:r>
  </w:p>
  <w:p w:rsidR="00771D7C" w:rsidRDefault="00771D7C">
    <w:pPr>
      <w:pStyle w:val="a6"/>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EE0" w:rsidRDefault="00C16EE0" w:rsidP="00771D7C">
      <w:r>
        <w:separator/>
      </w:r>
    </w:p>
  </w:footnote>
  <w:footnote w:type="continuationSeparator" w:id="0">
    <w:p w:rsidR="00C16EE0" w:rsidRDefault="00C16EE0" w:rsidP="00771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5"/>
  <w:drawingGridHorizontalSpacing w:val="313"/>
  <w:drawingGridVerticalSpacing w:val="569"/>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DNmNDdiMTViZTI2ZTc5NTM5Yjg1NzVmNDRiYmZmOGQ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4B2"/>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2A27"/>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118"/>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13F4"/>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5A8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3AB6"/>
    <w:rsid w:val="0056550E"/>
    <w:rsid w:val="0057054B"/>
    <w:rsid w:val="00570584"/>
    <w:rsid w:val="0057538F"/>
    <w:rsid w:val="00576F6C"/>
    <w:rsid w:val="005817CE"/>
    <w:rsid w:val="00582694"/>
    <w:rsid w:val="00590364"/>
    <w:rsid w:val="005906E5"/>
    <w:rsid w:val="005917C6"/>
    <w:rsid w:val="00591CA2"/>
    <w:rsid w:val="00592AD9"/>
    <w:rsid w:val="0059319A"/>
    <w:rsid w:val="005A4CEE"/>
    <w:rsid w:val="005A61E1"/>
    <w:rsid w:val="005A6F99"/>
    <w:rsid w:val="005B073C"/>
    <w:rsid w:val="005B4491"/>
    <w:rsid w:val="005B7312"/>
    <w:rsid w:val="005C0655"/>
    <w:rsid w:val="005C3E84"/>
    <w:rsid w:val="005C7003"/>
    <w:rsid w:val="005D137A"/>
    <w:rsid w:val="005D4DA5"/>
    <w:rsid w:val="005D7391"/>
    <w:rsid w:val="005E3D16"/>
    <w:rsid w:val="005E3D67"/>
    <w:rsid w:val="005F21C2"/>
    <w:rsid w:val="005F45F5"/>
    <w:rsid w:val="005F4CB1"/>
    <w:rsid w:val="00600FB6"/>
    <w:rsid w:val="00601BD3"/>
    <w:rsid w:val="00602648"/>
    <w:rsid w:val="0060511F"/>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1D7C"/>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B6146"/>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332"/>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16EE0"/>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8BA"/>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8361F"/>
    <w:rsid w:val="00E8449D"/>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1E85D94"/>
    <w:rsid w:val="020C78E7"/>
    <w:rsid w:val="02662F8E"/>
    <w:rsid w:val="03745165"/>
    <w:rsid w:val="037A78EF"/>
    <w:rsid w:val="037F5610"/>
    <w:rsid w:val="0393278E"/>
    <w:rsid w:val="03AC558F"/>
    <w:rsid w:val="03CD24C5"/>
    <w:rsid w:val="044D62C3"/>
    <w:rsid w:val="048C1429"/>
    <w:rsid w:val="04CB6713"/>
    <w:rsid w:val="04F11782"/>
    <w:rsid w:val="050644EF"/>
    <w:rsid w:val="05107947"/>
    <w:rsid w:val="055A2324"/>
    <w:rsid w:val="05640107"/>
    <w:rsid w:val="057E23CB"/>
    <w:rsid w:val="05962D64"/>
    <w:rsid w:val="05973710"/>
    <w:rsid w:val="061012E4"/>
    <w:rsid w:val="06277CEB"/>
    <w:rsid w:val="062D447B"/>
    <w:rsid w:val="06427E28"/>
    <w:rsid w:val="069778EC"/>
    <w:rsid w:val="06A51684"/>
    <w:rsid w:val="07DD656C"/>
    <w:rsid w:val="07FC008A"/>
    <w:rsid w:val="08434438"/>
    <w:rsid w:val="08D46349"/>
    <w:rsid w:val="09DB740D"/>
    <w:rsid w:val="09F33E95"/>
    <w:rsid w:val="0A186CBD"/>
    <w:rsid w:val="0A8C1C58"/>
    <w:rsid w:val="0B0F6BF7"/>
    <w:rsid w:val="0BDD2C26"/>
    <w:rsid w:val="0BE1796C"/>
    <w:rsid w:val="0C0B5D4D"/>
    <w:rsid w:val="0C286334"/>
    <w:rsid w:val="0C3278C1"/>
    <w:rsid w:val="0C3F7926"/>
    <w:rsid w:val="0C9762BE"/>
    <w:rsid w:val="0D1E5918"/>
    <w:rsid w:val="0D501516"/>
    <w:rsid w:val="0D8E3CBA"/>
    <w:rsid w:val="0DFA4095"/>
    <w:rsid w:val="0F3D1675"/>
    <w:rsid w:val="0F6B66D0"/>
    <w:rsid w:val="0F904DDC"/>
    <w:rsid w:val="0FAE2A12"/>
    <w:rsid w:val="10EE56CF"/>
    <w:rsid w:val="11065185"/>
    <w:rsid w:val="11577FA5"/>
    <w:rsid w:val="11943190"/>
    <w:rsid w:val="11AF0379"/>
    <w:rsid w:val="123C33BF"/>
    <w:rsid w:val="12543D06"/>
    <w:rsid w:val="1280703B"/>
    <w:rsid w:val="128B1777"/>
    <w:rsid w:val="12B57350"/>
    <w:rsid w:val="132B4F3A"/>
    <w:rsid w:val="134F75B9"/>
    <w:rsid w:val="13A45AAA"/>
    <w:rsid w:val="13AF3EFF"/>
    <w:rsid w:val="13C81C57"/>
    <w:rsid w:val="13F62541"/>
    <w:rsid w:val="1402167D"/>
    <w:rsid w:val="143141DF"/>
    <w:rsid w:val="14B55A66"/>
    <w:rsid w:val="15B97529"/>
    <w:rsid w:val="15D057AA"/>
    <w:rsid w:val="15E90DA2"/>
    <w:rsid w:val="161A15EA"/>
    <w:rsid w:val="165E4699"/>
    <w:rsid w:val="16CA24C3"/>
    <w:rsid w:val="170F06E0"/>
    <w:rsid w:val="1741472D"/>
    <w:rsid w:val="178F0BF6"/>
    <w:rsid w:val="17AC4E12"/>
    <w:rsid w:val="181D17B9"/>
    <w:rsid w:val="18733B97"/>
    <w:rsid w:val="19062B2E"/>
    <w:rsid w:val="195101D3"/>
    <w:rsid w:val="19D329F1"/>
    <w:rsid w:val="1A3737A7"/>
    <w:rsid w:val="1A6C68D0"/>
    <w:rsid w:val="1B211ABA"/>
    <w:rsid w:val="1B373A1F"/>
    <w:rsid w:val="1B7B2521"/>
    <w:rsid w:val="1BDC1930"/>
    <w:rsid w:val="1C064AEF"/>
    <w:rsid w:val="1C8328DB"/>
    <w:rsid w:val="1CAF37C7"/>
    <w:rsid w:val="1CF94AE5"/>
    <w:rsid w:val="1DAC54DB"/>
    <w:rsid w:val="1DB52ABD"/>
    <w:rsid w:val="1E062E3E"/>
    <w:rsid w:val="1E722670"/>
    <w:rsid w:val="1E9D4D6B"/>
    <w:rsid w:val="1EFE52E4"/>
    <w:rsid w:val="1F497106"/>
    <w:rsid w:val="1F765E61"/>
    <w:rsid w:val="1FD113B2"/>
    <w:rsid w:val="20D047CD"/>
    <w:rsid w:val="212D7667"/>
    <w:rsid w:val="21320A0C"/>
    <w:rsid w:val="21536A92"/>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4DE36B4"/>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B1050A4"/>
    <w:rsid w:val="2B6023F9"/>
    <w:rsid w:val="2BB534E2"/>
    <w:rsid w:val="2C022ECC"/>
    <w:rsid w:val="2C572ACC"/>
    <w:rsid w:val="2C754E45"/>
    <w:rsid w:val="2C9121A0"/>
    <w:rsid w:val="2CE00C6B"/>
    <w:rsid w:val="2CEC5763"/>
    <w:rsid w:val="2D366AA8"/>
    <w:rsid w:val="2D674EEC"/>
    <w:rsid w:val="2DB2590F"/>
    <w:rsid w:val="2DC101FE"/>
    <w:rsid w:val="2DDE101F"/>
    <w:rsid w:val="2E0F140F"/>
    <w:rsid w:val="2E483DE0"/>
    <w:rsid w:val="2E7E069E"/>
    <w:rsid w:val="2EA72D69"/>
    <w:rsid w:val="2EAF2A82"/>
    <w:rsid w:val="2F120650"/>
    <w:rsid w:val="2F2B13EB"/>
    <w:rsid w:val="2FE40D78"/>
    <w:rsid w:val="2FEB0310"/>
    <w:rsid w:val="301A10C3"/>
    <w:rsid w:val="306731C7"/>
    <w:rsid w:val="30B82E73"/>
    <w:rsid w:val="30C145B6"/>
    <w:rsid w:val="31710A09"/>
    <w:rsid w:val="327B1336"/>
    <w:rsid w:val="32C26F69"/>
    <w:rsid w:val="33704DE7"/>
    <w:rsid w:val="33904A9E"/>
    <w:rsid w:val="353B5DF8"/>
    <w:rsid w:val="35413998"/>
    <w:rsid w:val="35451FBD"/>
    <w:rsid w:val="3555360A"/>
    <w:rsid w:val="363213D2"/>
    <w:rsid w:val="363E3967"/>
    <w:rsid w:val="365C63D1"/>
    <w:rsid w:val="36BA7671"/>
    <w:rsid w:val="36E80841"/>
    <w:rsid w:val="36FA5AAD"/>
    <w:rsid w:val="372613F6"/>
    <w:rsid w:val="37D206DE"/>
    <w:rsid w:val="37DB33F8"/>
    <w:rsid w:val="37F52655"/>
    <w:rsid w:val="382A650A"/>
    <w:rsid w:val="383A12CA"/>
    <w:rsid w:val="38926FF9"/>
    <w:rsid w:val="38E538D0"/>
    <w:rsid w:val="38EB5892"/>
    <w:rsid w:val="39166122"/>
    <w:rsid w:val="392F0E52"/>
    <w:rsid w:val="394B4BE7"/>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6D0E09"/>
    <w:rsid w:val="3FEC3A99"/>
    <w:rsid w:val="40A3236D"/>
    <w:rsid w:val="40B04939"/>
    <w:rsid w:val="41537D93"/>
    <w:rsid w:val="416B005E"/>
    <w:rsid w:val="417A0DFB"/>
    <w:rsid w:val="41B500C6"/>
    <w:rsid w:val="41DC5F52"/>
    <w:rsid w:val="431A2371"/>
    <w:rsid w:val="4371561D"/>
    <w:rsid w:val="43E26C03"/>
    <w:rsid w:val="43F77D7C"/>
    <w:rsid w:val="43FB445F"/>
    <w:rsid w:val="454315C4"/>
    <w:rsid w:val="45783803"/>
    <w:rsid w:val="464210EF"/>
    <w:rsid w:val="46962F96"/>
    <w:rsid w:val="46AE4710"/>
    <w:rsid w:val="46BC2BE0"/>
    <w:rsid w:val="471269E3"/>
    <w:rsid w:val="472D13C4"/>
    <w:rsid w:val="47682A1B"/>
    <w:rsid w:val="47D41C59"/>
    <w:rsid w:val="48032D90"/>
    <w:rsid w:val="486A049D"/>
    <w:rsid w:val="486F55AC"/>
    <w:rsid w:val="4887656A"/>
    <w:rsid w:val="490E3B23"/>
    <w:rsid w:val="49A13C1D"/>
    <w:rsid w:val="49C26AFB"/>
    <w:rsid w:val="49FC14B9"/>
    <w:rsid w:val="49FF3464"/>
    <w:rsid w:val="4A434F89"/>
    <w:rsid w:val="4A5463E0"/>
    <w:rsid w:val="4A9816CD"/>
    <w:rsid w:val="4A9B58BD"/>
    <w:rsid w:val="4AB2325F"/>
    <w:rsid w:val="4AB73EEE"/>
    <w:rsid w:val="4ABF7B76"/>
    <w:rsid w:val="4B0F33F1"/>
    <w:rsid w:val="4B4D6079"/>
    <w:rsid w:val="4B4D70C4"/>
    <w:rsid w:val="4B985075"/>
    <w:rsid w:val="4BED077C"/>
    <w:rsid w:val="4C8D32F1"/>
    <w:rsid w:val="4DF76E98"/>
    <w:rsid w:val="4E991FAA"/>
    <w:rsid w:val="4ED36FD8"/>
    <w:rsid w:val="51724461"/>
    <w:rsid w:val="525D7324"/>
    <w:rsid w:val="52606CB4"/>
    <w:rsid w:val="527741E6"/>
    <w:rsid w:val="527C26D4"/>
    <w:rsid w:val="528F76AD"/>
    <w:rsid w:val="529971DF"/>
    <w:rsid w:val="52A90350"/>
    <w:rsid w:val="53816B17"/>
    <w:rsid w:val="53A45EDC"/>
    <w:rsid w:val="53FB14D6"/>
    <w:rsid w:val="5401170C"/>
    <w:rsid w:val="541E61C1"/>
    <w:rsid w:val="55112116"/>
    <w:rsid w:val="55C35CEE"/>
    <w:rsid w:val="55D86451"/>
    <w:rsid w:val="568C79B1"/>
    <w:rsid w:val="56E42731"/>
    <w:rsid w:val="570B0B9B"/>
    <w:rsid w:val="57160598"/>
    <w:rsid w:val="57556065"/>
    <w:rsid w:val="5788228F"/>
    <w:rsid w:val="57DB53EB"/>
    <w:rsid w:val="580F624C"/>
    <w:rsid w:val="58473994"/>
    <w:rsid w:val="58890CE5"/>
    <w:rsid w:val="588C747E"/>
    <w:rsid w:val="58901A0E"/>
    <w:rsid w:val="58D66304"/>
    <w:rsid w:val="58E66C42"/>
    <w:rsid w:val="5A302F0A"/>
    <w:rsid w:val="5AE5097C"/>
    <w:rsid w:val="5AF2705B"/>
    <w:rsid w:val="5B75018A"/>
    <w:rsid w:val="5B8C1ADC"/>
    <w:rsid w:val="5C852632"/>
    <w:rsid w:val="5CAD21A3"/>
    <w:rsid w:val="5D2B52D8"/>
    <w:rsid w:val="5DC547EE"/>
    <w:rsid w:val="5DE55039"/>
    <w:rsid w:val="5E664A71"/>
    <w:rsid w:val="5ECA2F7A"/>
    <w:rsid w:val="5F35103B"/>
    <w:rsid w:val="5F4C21C0"/>
    <w:rsid w:val="5F85706F"/>
    <w:rsid w:val="5FCB310E"/>
    <w:rsid w:val="5FDB54AC"/>
    <w:rsid w:val="5FFA5271"/>
    <w:rsid w:val="6019389F"/>
    <w:rsid w:val="60325328"/>
    <w:rsid w:val="60556068"/>
    <w:rsid w:val="60622983"/>
    <w:rsid w:val="6091004E"/>
    <w:rsid w:val="60B40102"/>
    <w:rsid w:val="60B47D57"/>
    <w:rsid w:val="61031365"/>
    <w:rsid w:val="610331CE"/>
    <w:rsid w:val="610F56D3"/>
    <w:rsid w:val="612B48C4"/>
    <w:rsid w:val="61DB4A59"/>
    <w:rsid w:val="61F219A1"/>
    <w:rsid w:val="6220265E"/>
    <w:rsid w:val="625C43E4"/>
    <w:rsid w:val="62726493"/>
    <w:rsid w:val="62B32BBD"/>
    <w:rsid w:val="62CA2CFC"/>
    <w:rsid w:val="636042BC"/>
    <w:rsid w:val="636E3262"/>
    <w:rsid w:val="63A616EE"/>
    <w:rsid w:val="63CB09BF"/>
    <w:rsid w:val="64904533"/>
    <w:rsid w:val="64E17DAC"/>
    <w:rsid w:val="652C4E40"/>
    <w:rsid w:val="659006BC"/>
    <w:rsid w:val="65F96DBB"/>
    <w:rsid w:val="66773E88"/>
    <w:rsid w:val="66A73DB0"/>
    <w:rsid w:val="66BC6E35"/>
    <w:rsid w:val="66D07B67"/>
    <w:rsid w:val="67157A05"/>
    <w:rsid w:val="67234AFD"/>
    <w:rsid w:val="67261304"/>
    <w:rsid w:val="672D2805"/>
    <w:rsid w:val="67EC4A85"/>
    <w:rsid w:val="688153A0"/>
    <w:rsid w:val="68E26C90"/>
    <w:rsid w:val="68F60279"/>
    <w:rsid w:val="69981510"/>
    <w:rsid w:val="69B444CA"/>
    <w:rsid w:val="69C328D8"/>
    <w:rsid w:val="6A4554CD"/>
    <w:rsid w:val="6A565ED1"/>
    <w:rsid w:val="6AB41369"/>
    <w:rsid w:val="6B5B46B5"/>
    <w:rsid w:val="6B846973"/>
    <w:rsid w:val="6B95581E"/>
    <w:rsid w:val="6BAC02C1"/>
    <w:rsid w:val="6C0C0F8B"/>
    <w:rsid w:val="6CDE0529"/>
    <w:rsid w:val="6CE448A1"/>
    <w:rsid w:val="6CEB6587"/>
    <w:rsid w:val="6D1D5FE5"/>
    <w:rsid w:val="6D21224C"/>
    <w:rsid w:val="6D305FAD"/>
    <w:rsid w:val="6D5A4C2A"/>
    <w:rsid w:val="6D5C7C80"/>
    <w:rsid w:val="6E125AE1"/>
    <w:rsid w:val="6E3840D1"/>
    <w:rsid w:val="6E3B6C77"/>
    <w:rsid w:val="6E5421AF"/>
    <w:rsid w:val="6F864FF3"/>
    <w:rsid w:val="6F8B25D8"/>
    <w:rsid w:val="71606008"/>
    <w:rsid w:val="7164146B"/>
    <w:rsid w:val="719162F8"/>
    <w:rsid w:val="71BA7104"/>
    <w:rsid w:val="72350773"/>
    <w:rsid w:val="72614288"/>
    <w:rsid w:val="72A1539A"/>
    <w:rsid w:val="72CE24AC"/>
    <w:rsid w:val="731B4F30"/>
    <w:rsid w:val="733E644D"/>
    <w:rsid w:val="73F80770"/>
    <w:rsid w:val="740742C5"/>
    <w:rsid w:val="742601FF"/>
    <w:rsid w:val="746554E6"/>
    <w:rsid w:val="74AA5AA4"/>
    <w:rsid w:val="74CF1DC8"/>
    <w:rsid w:val="755B1F9F"/>
    <w:rsid w:val="75886F46"/>
    <w:rsid w:val="75A621CB"/>
    <w:rsid w:val="761F7357"/>
    <w:rsid w:val="7638131F"/>
    <w:rsid w:val="76405F47"/>
    <w:rsid w:val="77372834"/>
    <w:rsid w:val="778F3CF8"/>
    <w:rsid w:val="77BF4814"/>
    <w:rsid w:val="784754C9"/>
    <w:rsid w:val="789371DD"/>
    <w:rsid w:val="78A33B0F"/>
    <w:rsid w:val="78EB7EDA"/>
    <w:rsid w:val="79CF54C3"/>
    <w:rsid w:val="79FA76E1"/>
    <w:rsid w:val="7A014C0C"/>
    <w:rsid w:val="7A162CED"/>
    <w:rsid w:val="7ACC7553"/>
    <w:rsid w:val="7B85158D"/>
    <w:rsid w:val="7B923902"/>
    <w:rsid w:val="7B974D3C"/>
    <w:rsid w:val="7BBC12E9"/>
    <w:rsid w:val="7BF43F4E"/>
    <w:rsid w:val="7C7C2595"/>
    <w:rsid w:val="7C9B5B8F"/>
    <w:rsid w:val="7CA70FE8"/>
    <w:rsid w:val="7CD65F06"/>
    <w:rsid w:val="7CD81C71"/>
    <w:rsid w:val="7CE562F3"/>
    <w:rsid w:val="7D781589"/>
    <w:rsid w:val="7DC037B5"/>
    <w:rsid w:val="7DFE7585"/>
    <w:rsid w:val="7E087C15"/>
    <w:rsid w:val="7E2D2157"/>
    <w:rsid w:val="7E8B7880"/>
    <w:rsid w:val="7EFB616A"/>
    <w:rsid w:val="7F180C8F"/>
    <w:rsid w:val="7F32010C"/>
    <w:rsid w:val="7F495CD6"/>
    <w:rsid w:val="7F8B6497"/>
    <w:rsid w:val="7FAC31AB"/>
    <w:rsid w:val="7FF64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1D7C"/>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71D7C"/>
    <w:pPr>
      <w:jc w:val="center"/>
    </w:pPr>
    <w:rPr>
      <w:rFonts w:eastAsia="黑体"/>
      <w:sz w:val="36"/>
    </w:rPr>
  </w:style>
  <w:style w:type="paragraph" w:styleId="a4">
    <w:name w:val="Body Text Indent"/>
    <w:basedOn w:val="a"/>
    <w:qFormat/>
    <w:rsid w:val="00771D7C"/>
    <w:pPr>
      <w:ind w:leftChars="200" w:left="420"/>
    </w:pPr>
  </w:style>
  <w:style w:type="paragraph" w:styleId="a5">
    <w:name w:val="Balloon Text"/>
    <w:basedOn w:val="a"/>
    <w:semiHidden/>
    <w:qFormat/>
    <w:rsid w:val="00771D7C"/>
    <w:rPr>
      <w:sz w:val="18"/>
      <w:szCs w:val="18"/>
    </w:rPr>
  </w:style>
  <w:style w:type="paragraph" w:styleId="a6">
    <w:name w:val="footer"/>
    <w:basedOn w:val="a"/>
    <w:qFormat/>
    <w:rsid w:val="00771D7C"/>
    <w:pPr>
      <w:tabs>
        <w:tab w:val="center" w:pos="4153"/>
        <w:tab w:val="right" w:pos="8306"/>
      </w:tabs>
      <w:snapToGrid w:val="0"/>
      <w:jc w:val="left"/>
    </w:pPr>
    <w:rPr>
      <w:sz w:val="18"/>
    </w:rPr>
  </w:style>
  <w:style w:type="paragraph" w:styleId="a7">
    <w:name w:val="header"/>
    <w:basedOn w:val="a"/>
    <w:qFormat/>
    <w:rsid w:val="00771D7C"/>
    <w:pPr>
      <w:pBdr>
        <w:bottom w:val="single" w:sz="6" w:space="1" w:color="auto"/>
      </w:pBdr>
      <w:tabs>
        <w:tab w:val="center" w:pos="4153"/>
        <w:tab w:val="right" w:pos="8306"/>
      </w:tabs>
      <w:snapToGrid w:val="0"/>
      <w:jc w:val="center"/>
    </w:pPr>
    <w:rPr>
      <w:sz w:val="18"/>
    </w:rPr>
  </w:style>
  <w:style w:type="paragraph" w:styleId="a8">
    <w:name w:val="Normal (Web)"/>
    <w:basedOn w:val="a"/>
    <w:qFormat/>
    <w:rsid w:val="00771D7C"/>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4"/>
    <w:rsid w:val="00771D7C"/>
    <w:pPr>
      <w:ind w:firstLineChars="200" w:firstLine="420"/>
    </w:pPr>
  </w:style>
  <w:style w:type="table" w:styleId="a9">
    <w:name w:val="Table Grid"/>
    <w:basedOn w:val="a2"/>
    <w:qFormat/>
    <w:rsid w:val="00771D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771D7C"/>
    <w:rPr>
      <w:b/>
      <w:bCs/>
    </w:rPr>
  </w:style>
  <w:style w:type="character" w:styleId="ab">
    <w:name w:val="page number"/>
    <w:basedOn w:val="a1"/>
    <w:qFormat/>
    <w:rsid w:val="00771D7C"/>
  </w:style>
  <w:style w:type="character" w:customStyle="1" w:styleId="font71">
    <w:name w:val="font71"/>
    <w:basedOn w:val="a1"/>
    <w:qFormat/>
    <w:rsid w:val="00771D7C"/>
    <w:rPr>
      <w:rFonts w:ascii="Times New Roman" w:eastAsia="楷体_GB2312" w:hAnsi="Times New Roman" w:cs="Times New Roman" w:hint="default"/>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邵兰</cp:lastModifiedBy>
  <cp:revision>6</cp:revision>
  <cp:lastPrinted>2023-08-04T00:34:00Z</cp:lastPrinted>
  <dcterms:created xsi:type="dcterms:W3CDTF">2023-09-21T01:32:00Z</dcterms:created>
  <dcterms:modified xsi:type="dcterms:W3CDTF">2023-09-26T02:24:00Z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BD4D9A09AE91455E9EAA05EDEF70BFF6_13</vt:lpwstr>
  </property>
</Properties>
</file>