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color w:val="000000" w:themeColor="text1"/>
          <w:szCs w:val="32"/>
          <w14:textFill>
            <w14:solidFill>
              <w14:schemeClr w14:val="tx1"/>
            </w14:solidFill>
          </w14:textFill>
        </w:rPr>
      </w:pPr>
      <w:r>
        <w:rPr>
          <w:rFonts w:hint="eastAsia" w:ascii="TimesNewRoman" w:hAnsi="TimesNewRoman" w:eastAsia="黑体" w:cs="TimesNewRoman"/>
          <w:color w:val="000000" w:themeColor="text1"/>
          <w:szCs w:val="32"/>
          <w14:textFill>
            <w14:solidFill>
              <w14:schemeClr w14:val="tx1"/>
            </w14:solidFill>
          </w14:textFill>
        </w:rPr>
        <w:t>附件1-1</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TimesNewRoman" w:eastAsia="方正小标宋简体" w:cs="TimesNewRoman"/>
          <w:color w:val="000000" w:themeColor="text1"/>
          <w:sz w:val="60"/>
          <w:szCs w:val="60"/>
          <w14:textFill>
            <w14:solidFill>
              <w14:schemeClr w14:val="tx1"/>
            </w14:solidFill>
          </w14:textFill>
        </w:rPr>
      </w:pPr>
      <w:r>
        <w:rPr>
          <w:rFonts w:hint="eastAsia" w:ascii="方正小标宋简体" w:hAnsi="TimesNewRoman" w:eastAsia="方正小标宋简体" w:cs="TimesNewRoman"/>
          <w:color w:val="000000" w:themeColor="text1"/>
          <w:sz w:val="60"/>
          <w:szCs w:val="60"/>
          <w14:textFill>
            <w14:solidFill>
              <w14:schemeClr w14:val="tx1"/>
            </w14:solidFill>
          </w14:textFill>
        </w:rPr>
        <w:t>淮北市科技局2024年</w:t>
      </w:r>
    </w:p>
    <w:p>
      <w:pPr>
        <w:jc w:val="center"/>
        <w:rPr>
          <w:rFonts w:ascii="方正小标宋简体" w:hAnsi="TimesNewRoman" w:eastAsia="方正小标宋简体" w:cs="TimesNewRoman"/>
          <w:color w:val="000000" w:themeColor="text1"/>
          <w:sz w:val="70"/>
          <w:szCs w:val="70"/>
          <w14:textFill>
            <w14:solidFill>
              <w14:schemeClr w14:val="tx1"/>
            </w14:solidFill>
          </w14:textFill>
        </w:rPr>
      </w:pPr>
      <w:r>
        <w:rPr>
          <w:rFonts w:hint="eastAsia" w:ascii="方正小标宋简体" w:hAnsi="TimesNewRoman" w:eastAsia="方正小标宋简体" w:cs="TimesNewRoman"/>
          <w:color w:val="000000" w:themeColor="text1"/>
          <w:sz w:val="60"/>
          <w:szCs w:val="60"/>
          <w14:textFill>
            <w14:solidFill>
              <w14:schemeClr w14:val="tx1"/>
            </w14:solidFill>
          </w14:textFill>
        </w:rPr>
        <w:t>部门预算</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adjustRightInd w:val="0"/>
        <w:snapToGrid w:val="0"/>
        <w:spacing w:line="560" w:lineRule="exact"/>
        <w:jc w:val="center"/>
        <w:rPr>
          <w:rFonts w:ascii="TimesNewRoman" w:hAnsi="TimesNewRoman" w:eastAsia="黑体" w:cs="TimesNewRoman"/>
          <w:bCs/>
          <w:color w:val="000000" w:themeColor="text1"/>
          <w:sz w:val="44"/>
          <w:szCs w:val="44"/>
          <w14:textFill>
            <w14:solidFill>
              <w14:schemeClr w14:val="tx1"/>
            </w14:solidFill>
          </w14:textFill>
        </w:rPr>
      </w:pPr>
    </w:p>
    <w:p>
      <w:pPr>
        <w:pStyle w:val="5"/>
        <w:adjustRightInd w:val="0"/>
        <w:snapToGrid w:val="0"/>
        <w:spacing w:line="560" w:lineRule="exact"/>
        <w:jc w:val="center"/>
        <w:rPr>
          <w:rFonts w:ascii="TimesNewRoman" w:hAnsi="TimesNewRoman" w:eastAsia="黑体" w:cs="TimesNewRoman"/>
          <w:bCs/>
          <w:color w:val="000000" w:themeColor="text1"/>
          <w:sz w:val="44"/>
          <w:szCs w:val="44"/>
          <w14:textFill>
            <w14:solidFill>
              <w14:schemeClr w14:val="tx1"/>
            </w14:solidFill>
          </w14:textFill>
        </w:rPr>
      </w:pPr>
    </w:p>
    <w:p>
      <w:pPr>
        <w:pStyle w:val="5"/>
        <w:adjustRightInd w:val="0"/>
        <w:snapToGrid w:val="0"/>
        <w:spacing w:before="0" w:beforeAutospacing="0" w:after="0" w:afterAutospacing="0"/>
        <w:jc w:val="center"/>
        <w:rPr>
          <w:rFonts w:cs="TimesNewRoman" w:asciiTheme="minorEastAsia" w:hAnsiTheme="minorEastAsia" w:eastAsiaTheme="minorEastAsia"/>
          <w:b/>
          <w:bCs/>
          <w:color w:val="000000" w:themeColor="text1"/>
          <w:sz w:val="44"/>
          <w:szCs w:val="44"/>
          <w14:textFill>
            <w14:solidFill>
              <w14:schemeClr w14:val="tx1"/>
            </w14:solidFill>
          </w14:textFill>
        </w:rPr>
        <w:sectPr>
          <w:footerReference r:id="rId3" w:type="default"/>
          <w:footerReference r:id="rId4" w:type="even"/>
          <w:pgSz w:w="11906" w:h="16838"/>
          <w:pgMar w:top="1701" w:right="1418" w:bottom="1418" w:left="1701" w:header="851" w:footer="992" w:gutter="0"/>
          <w:cols w:space="425" w:num="1"/>
          <w:docGrid w:type="lines" w:linePitch="312" w:charSpace="0"/>
        </w:sectPr>
      </w:pPr>
      <w:r>
        <w:rPr>
          <w:rFonts w:hint="eastAsia" w:cs="TimesNewRoman" w:asciiTheme="minorEastAsia" w:hAnsiTheme="minorEastAsia" w:eastAsiaTheme="minorEastAsia"/>
          <w:b/>
          <w:bCs/>
          <w:color w:val="000000" w:themeColor="text1"/>
          <w:sz w:val="44"/>
          <w:szCs w:val="44"/>
          <w14:textFill>
            <w14:solidFill>
              <w14:schemeClr w14:val="tx1"/>
            </w14:solidFill>
          </w14:textFill>
        </w:rPr>
        <w:t>2024年2月</w:t>
      </w:r>
    </w:p>
    <w:p>
      <w:pPr>
        <w:pStyle w:val="5"/>
        <w:adjustRightInd w:val="0"/>
        <w:snapToGrid w:val="0"/>
        <w:spacing w:before="0" w:beforeAutospacing="0" w:after="0" w:afterAutospacing="0"/>
        <w:jc w:val="center"/>
        <w:rPr>
          <w:rFonts w:ascii="TimesNewRoman" w:hAnsi="TimesNewRoman" w:eastAsia="黑体" w:cs="TimesNewRoman"/>
          <w:bCs/>
          <w:color w:val="000000" w:themeColor="text1"/>
          <w:sz w:val="44"/>
          <w:szCs w:val="44"/>
          <w14:textFill>
            <w14:solidFill>
              <w14:schemeClr w14:val="tx1"/>
            </w14:solidFill>
          </w14:textFill>
        </w:rPr>
      </w:pPr>
      <w:r>
        <w:rPr>
          <w:rFonts w:hint="eastAsia" w:ascii="TimesNewRoman" w:hAnsi="TimesNewRoman" w:eastAsia="黑体" w:cs="TimesNewRoman"/>
          <w:bCs/>
          <w:color w:val="000000" w:themeColor="text1"/>
          <w:sz w:val="44"/>
          <w:szCs w:val="44"/>
          <w14:textFill>
            <w14:solidFill>
              <w14:schemeClr w14:val="tx1"/>
            </w14:solidFill>
          </w14:textFill>
        </w:rPr>
        <w:t>目  录</w:t>
      </w:r>
    </w:p>
    <w:p>
      <w:pPr>
        <w:rPr>
          <w:color w:val="000000" w:themeColor="text1"/>
          <w14:textFill>
            <w14:solidFill>
              <w14:schemeClr w14:val="tx1"/>
            </w14:solidFill>
          </w14:textFill>
        </w:rPr>
      </w:pP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第一部分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部门概况</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、主要职责</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、部门预算构成</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 xml:space="preserve">3 </w:t>
      </w:r>
      <w:r>
        <w:rPr>
          <w:rFonts w:ascii="Times New Roman" w:hAnsi="TimesNew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年度主要工作任务</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第二部分</w:t>
      </w:r>
      <w:r>
        <w:rPr>
          <w:rFonts w:ascii="Times New Roman" w:hAnsi="Times New Roman" w:eastAsia="黑体" w:cs="Times New Roman"/>
          <w:color w:val="000000" w:themeColor="text1"/>
          <w:sz w:val="32"/>
          <w:szCs w:val="32"/>
          <w14:textFill>
            <w14:solidFill>
              <w14:schemeClr w14:val="tx1"/>
            </w14:solidFill>
          </w14:textFill>
        </w:rPr>
        <w:t xml:space="preserve"> 2024</w:t>
      </w:r>
      <w:r>
        <w:rPr>
          <w:rFonts w:ascii="Times New Roman" w:hAnsi="黑体" w:eastAsia="黑体" w:cs="Times New Roman"/>
          <w:color w:val="000000" w:themeColor="text1"/>
          <w:sz w:val="32"/>
          <w:szCs w:val="32"/>
          <w14:textFill>
            <w14:solidFill>
              <w14:schemeClr w14:val="tx1"/>
            </w14:solidFill>
          </w14:textFill>
        </w:rPr>
        <w:t>年部门预算表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、淮北市</w:t>
      </w:r>
      <w:r>
        <w:rPr>
          <w:rFonts w:ascii="Times New Roman" w:hAnsi="Times New Roman" w:eastAsia="仿宋_GB2312" w:cs="Times New Roman"/>
          <w:bCs/>
          <w:color w:val="000000" w:themeColor="text1"/>
          <w:sz w:val="32"/>
          <w:szCs w:val="32"/>
          <w14:textFill>
            <w14:solidFill>
              <w14:schemeClr w14:val="tx1"/>
            </w14:solidFill>
          </w14:textFill>
        </w:rPr>
        <w:t>科技局2024</w:t>
      </w:r>
      <w:r>
        <w:rPr>
          <w:rFonts w:ascii="Times New Roman" w:hAnsi="TimesNewRoman" w:eastAsia="仿宋_GB2312" w:cs="Times New Roman"/>
          <w:bCs/>
          <w:color w:val="000000" w:themeColor="text1"/>
          <w:sz w:val="32"/>
          <w:szCs w:val="32"/>
          <w14:textFill>
            <w14:solidFill>
              <w14:schemeClr w14:val="tx1"/>
            </w14:solidFill>
          </w14:textFill>
        </w:rPr>
        <w:t>年收支总表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年收入总表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年支出总表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年财政拨款收支总表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年一般公共预算支出表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年一般公共预算基本支出表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年政府性基金预算支出表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8</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年国有资本经营预算支出表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年项目支出表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年政府采购支出表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11</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年政府购买服务支出表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年通用资产配置支出表</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第三部分</w:t>
      </w:r>
      <w:r>
        <w:rPr>
          <w:rFonts w:ascii="Times New Roman" w:hAnsi="Times New Roman" w:eastAsia="黑体" w:cs="Times New Roman"/>
          <w:color w:val="000000" w:themeColor="text1"/>
          <w:sz w:val="32"/>
          <w:szCs w:val="32"/>
          <w14:textFill>
            <w14:solidFill>
              <w14:schemeClr w14:val="tx1"/>
            </w14:solidFill>
          </w14:textFill>
        </w:rPr>
        <w:t xml:space="preserve"> 2024</w:t>
      </w:r>
      <w:r>
        <w:rPr>
          <w:rFonts w:ascii="Times New Roman" w:hAnsi="黑体" w:eastAsia="黑体" w:cs="Times New Roman"/>
          <w:color w:val="000000" w:themeColor="text1"/>
          <w:sz w:val="32"/>
          <w:szCs w:val="32"/>
          <w14:textFill>
            <w14:solidFill>
              <w14:schemeClr w14:val="tx1"/>
            </w14:solidFill>
          </w14:textFill>
        </w:rPr>
        <w:t>年部门预算情况说明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年收支总表的说明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年收入总表的说明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年支出总表的说明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年财政拨款收支总表的说明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年一般公共预算支出表的说明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年一般公共预算基本支出表的说明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年政府性基金预算支出表的说明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8</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年国有资本经营预算支出表的说明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年项目支出表的说明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年政府采购支出表的说明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11</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年政府购买服务支出表的说明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12</w:t>
      </w:r>
      <w:r>
        <w:rPr>
          <w:rFonts w:ascii="Times New Roman" w:hAnsi="TimesNewRoman" w:eastAsia="仿宋_GB2312" w:cs="Times New Roman"/>
          <w:bCs/>
          <w:color w:val="000000" w:themeColor="text1"/>
          <w:sz w:val="32"/>
          <w:szCs w:val="32"/>
          <w14:textFill>
            <w14:solidFill>
              <w14:schemeClr w14:val="tx1"/>
            </w14:solidFill>
          </w14:textFill>
        </w:rPr>
        <w:t>、其他重要事项情况说明</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第四部分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名词解释</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第五部分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其它公开事项</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年部门预算纳入绩效考评项目表</w:t>
      </w:r>
    </w:p>
    <w:p>
      <w:pPr>
        <w:pStyle w:val="5"/>
        <w:adjustRightInd w:val="0"/>
        <w:spacing w:before="0" w:beforeAutospacing="0" w:after="0" w:afterAutospacing="0" w:line="600" w:lineRule="exact"/>
        <w:ind w:firstLine="640" w:firstLineChars="200"/>
        <w:rPr>
          <w:rFonts w:ascii="TimesNewRoman" w:hAnsi="TimesNewRoman" w:eastAsia="黑体" w:cs="TimesNewRoman"/>
          <w:bCs/>
          <w:color w:val="000000" w:themeColor="text1"/>
          <w:sz w:val="36"/>
          <w:szCs w:val="36"/>
          <w14:textFill>
            <w14:solidFill>
              <w14:schemeClr w14:val="tx1"/>
            </w14:solidFill>
          </w14:textFill>
        </w:rPr>
        <w:sectPr>
          <w:footerReference r:id="rId5" w:type="default"/>
          <w:pgSz w:w="11906" w:h="16838"/>
          <w:pgMar w:top="1701" w:right="1418" w:bottom="1418" w:left="1701" w:header="851" w:footer="992" w:gutter="0"/>
          <w:pgNumType w:fmt="numberInDash" w:start="1"/>
          <w:cols w:space="425" w:num="1"/>
          <w:docGrid w:type="lines" w:linePitch="326" w:charSpace="0"/>
        </w:sect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2024</w:t>
      </w:r>
      <w:r>
        <w:rPr>
          <w:rFonts w:ascii="Times New Roman" w:hAnsi="TimesNewRoman" w:eastAsia="仿宋_GB2312" w:cs="Times New Roman"/>
          <w:bCs/>
          <w:color w:val="000000" w:themeColor="text1"/>
          <w:sz w:val="32"/>
          <w:szCs w:val="32"/>
          <w14:textFill>
            <w14:solidFill>
              <w14:schemeClr w14:val="tx1"/>
            </w14:solidFill>
          </w14:textFill>
        </w:rPr>
        <w:t>年部门预算专项资金管理清单（专栏公开）</w:t>
      </w:r>
    </w:p>
    <w:p>
      <w:pPr>
        <w:pStyle w:val="5"/>
        <w:adjustRightInd w:val="0"/>
        <w:spacing w:before="0" w:beforeAutospacing="0" w:after="0" w:afterAutospacing="0" w:line="60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第一部分  部门概况</w:t>
      </w:r>
    </w:p>
    <w:p>
      <w:pPr>
        <w:pStyle w:val="5"/>
        <w:adjustRightInd w:val="0"/>
        <w:spacing w:beforeLines="100" w:beforeAutospacing="0" w:after="0" w:afterAutospacing="0" w:line="580" w:lineRule="exact"/>
        <w:ind w:firstLine="627" w:firstLineChars="196"/>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一、主要职责</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（一）拟订市创新驱动发展战略以及科技发展、引进国外智力规划和政策并组织实施。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二）统筹推进创新体系建设和科技体制改革，会同有关部门健全技术创新激励机制。优化科研体系建设，指导科研机构改革发展，推动企业科技创新能力建设，承担推进科技军民融合发展相关工作，推进重大科技决策咨询制度建设。</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三）建立公开统一的科技管理平台和科研项目资金协调、评估、监管机制。会同有关部门提出优化配置科技资源的政策措施建议，推动多元化科技投入体系建设，协调管理市财政科技计划（专项、基金等）并监督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四）拟订基础研究规划、政策和标准并组织实施，组织协调基础研究和应用基础研究。拟订科技创新基地建设规划并监督实施，参与编制重大科技基础设施建设规划和监督实施。牵头推进重点实验室、技术创新中心及其他创新基地建设，推动科研条件保障建设和科技资源开放共享。</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（五）编制市重大科技项目规划并组织、监督实施，统筹关键共性技术、前沿引领技术、现代工程技术、颠覆性技术研发和创新，牵头组织重大技术攻关和成果应用示范。</w:t>
      </w:r>
    </w:p>
    <w:p>
      <w:pPr>
        <w:widowControl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（六）组织拟订高新技术发展及产业化、科技促进农业农村和社会发展的规划、政策和措施，组织高新技术企业培育和申报。组织开展重点领域技术发展需求分析，提出重大任务并监督实施。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（七）牵头技术转移体系建设，拟订科技成果转移转化和促进产学研结合的相关政策措施并监督实施。指导科技服务业、技术市场和科技中介组织发展。</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（八）统筹区域科技创新体系建设，指导区域创新发展、科技资源合理布局和协同创新能力建设，推动科技园区建设。</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（九）负责科技监督评价体系建设和相关科技评估管理，指导科技评价机制改革，统筹科研诚信建设。组织实施创新调查和科技报告制度，指导全市科技保密工作。</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（十）拟订科技对外交往与创新能力开放合作的规划、政策和措施，组织开展对外科技合作与科技人才交流。指导相关部门和县区、高新区对外科技合作与科技人才交流工作。</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（十一）负责引进国外智力工作。拟订重点引进外国专家总体规划、计划并组织实施，建立外国高层次科学家、团队吸引集聚机制和重点外国专家联系服务机制。</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（十二）会同有关部门拟订科技人才队伍建设规划和政策，建立健全科技人才评价和激励机制，组织实施科技人才计划，推动高端科技创新人才队伍建设。拟订科学普及和科学传播规划、政策。</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（十三）负责省科学技术奖、黄山友谊奖的组织申报工作。</w:t>
      </w:r>
    </w:p>
    <w:p>
      <w:pPr>
        <w:spacing w:line="58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（十四）</w:t>
      </w:r>
      <w:r>
        <w:rPr>
          <w:rFonts w:ascii="Times New Roman" w:eastAsia="仿宋_GB2312" w:cs="Times New Roman"/>
          <w:color w:val="000000" w:themeColor="text1"/>
          <w:kern w:val="2"/>
          <w:sz w:val="32"/>
          <w:szCs w:val="32"/>
          <w14:textFill>
            <w14:solidFill>
              <w14:schemeClr w14:val="tx1"/>
            </w14:solidFill>
          </w14:textFill>
        </w:rPr>
        <w:t>负责自然科学基金工作管理、统筹协调和监督评估。</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（十五）完成市委、市政府交办的其他任务。</w:t>
      </w:r>
    </w:p>
    <w:p>
      <w:pPr>
        <w:spacing w:line="580" w:lineRule="exact"/>
        <w:ind w:firstLine="640" w:firstLineChars="200"/>
        <w:jc w:val="both"/>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（十六）职能转变。</w:t>
      </w:r>
      <w:r>
        <w:rPr>
          <w:rFonts w:ascii="Times New Roman" w:eastAsia="仿宋_GB2312" w:cs="Times New Roman"/>
          <w:color w:val="000000" w:themeColor="text1"/>
          <w:spacing w:val="-2"/>
          <w:sz w:val="32"/>
          <w:szCs w:val="32"/>
          <w14:textFill>
            <w14:solidFill>
              <w14:schemeClr w14:val="tx1"/>
            </w14:solidFill>
          </w14:textFill>
        </w:rPr>
        <w:t>围绕贯彻实施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统一的科技管理平台，减少科技计划项目重复、分散、封闭、低效和资源配置</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ascii="Times New Roman" w:eastAsia="仿宋_GB2312" w:cs="Times New Roman"/>
          <w:color w:val="000000" w:themeColor="text1"/>
          <w:spacing w:val="-2"/>
          <w:sz w:val="32"/>
          <w:szCs w:val="32"/>
          <w14:textFill>
            <w14:solidFill>
              <w14:schemeClr w14:val="tx1"/>
            </w14:solidFill>
          </w14:textFill>
        </w:rPr>
        <w:t>碎片化</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ascii="Times New Roman" w:eastAsia="仿宋_GB2312" w:cs="Times New Roman"/>
          <w:color w:val="000000" w:themeColor="text1"/>
          <w:spacing w:val="-2"/>
          <w:sz w:val="32"/>
          <w:szCs w:val="32"/>
          <w14:textFill>
            <w14:solidFill>
              <w14:schemeClr w14:val="tx1"/>
            </w14:solidFill>
          </w14:textFill>
        </w:rPr>
        <w:t>的现象。政府部门不直接管理具体科研项目，委托项目管理专业机构开展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科技人才队伍建设和引进国外智力工作。</w:t>
      </w:r>
    </w:p>
    <w:p>
      <w:pPr>
        <w:pStyle w:val="5"/>
        <w:adjustRightInd w:val="0"/>
        <w:spacing w:before="0" w:beforeAutospacing="0" w:after="0" w:afterAutospacing="0" w:line="58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二、部门预算构成</w:t>
      </w:r>
    </w:p>
    <w:p>
      <w:pPr>
        <w:pStyle w:val="5"/>
        <w:adjustRightInd w:val="0"/>
        <w:spacing w:before="0" w:beforeAutospacing="0" w:after="0" w:afterAutospacing="0" w:line="580" w:lineRule="exact"/>
        <w:ind w:firstLine="627" w:firstLineChars="196"/>
        <w:jc w:val="both"/>
        <w:rPr>
          <w:rFonts w:ascii="TimesNewRoman" w:hAnsi="TimesNewRoman" w:eastAsia="仿宋_GB2312" w:cs="TimesNew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从预算单位构成看，</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年度部门预算包括局本级预算和局下属单位预算，纳入部门预算编制范围的预算单位共</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NewRoman" w:eastAsia="仿宋_GB2312" w:cs="Times New Roman"/>
          <w:color w:val="000000" w:themeColor="text1"/>
          <w:sz w:val="32"/>
          <w:szCs w:val="32"/>
          <w14:textFill>
            <w14:solidFill>
              <w14:schemeClr w14:val="tx1"/>
            </w14:solidFill>
          </w14:textFill>
        </w:rPr>
        <w:t>个，具体情况见下表。</w:t>
      </w:r>
    </w:p>
    <w:tbl>
      <w:tblPr>
        <w:tblStyle w:val="6"/>
        <w:tblW w:w="8441" w:type="dxa"/>
        <w:jc w:val="center"/>
        <w:tblLayout w:type="fixed"/>
        <w:tblCellMar>
          <w:top w:w="0" w:type="dxa"/>
          <w:left w:w="0" w:type="dxa"/>
          <w:bottom w:w="0" w:type="dxa"/>
          <w:right w:w="0" w:type="dxa"/>
        </w:tblCellMar>
      </w:tblPr>
      <w:tblGrid>
        <w:gridCol w:w="854"/>
        <w:gridCol w:w="5319"/>
        <w:gridCol w:w="2268"/>
      </w:tblGrid>
      <w:tr>
        <w:tblPrEx>
          <w:tblCellMar>
            <w:top w:w="0" w:type="dxa"/>
            <w:left w:w="0" w:type="dxa"/>
            <w:bottom w:w="0" w:type="dxa"/>
            <w:right w:w="0" w:type="dxa"/>
          </w:tblCellMar>
        </w:tblPrEx>
        <w:trPr>
          <w:trHeight w:val="536"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b/>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序号</w:t>
            </w:r>
          </w:p>
        </w:tc>
        <w:tc>
          <w:tcPr>
            <w:tcW w:w="531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b/>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单位名称</w:t>
            </w:r>
          </w:p>
        </w:tc>
        <w:tc>
          <w:tcPr>
            <w:tcW w:w="2268" w:type="dxa"/>
            <w:tcBorders>
              <w:top w:val="single" w:color="auto" w:sz="8" w:space="0"/>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b/>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单位性质</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市科技局本级</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color w:val="000000" w:themeColor="text1"/>
                <w:u w:val="single"/>
                <w14:textFill>
                  <w14:solidFill>
                    <w14:schemeClr w14:val="tx1"/>
                  </w14:solidFill>
                </w14:textFill>
              </w:rPr>
            </w:pPr>
            <w:r>
              <w:rPr>
                <w:rFonts w:asciiTheme="minorEastAsia" w:hAnsiTheme="minorEastAsia"/>
                <w:bCs/>
                <w:color w:val="000000" w:themeColor="text1"/>
                <w14:textFill>
                  <w14:solidFill>
                    <w14:schemeClr w14:val="tx1"/>
                  </w14:solidFill>
                </w14:textFill>
              </w:rPr>
              <w:t>行政单位</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市科技情报所</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color w:val="000000" w:themeColor="text1"/>
                <w:u w:val="single"/>
                <w14:textFill>
                  <w14:solidFill>
                    <w14:schemeClr w14:val="tx1"/>
                  </w14:solidFill>
                </w14:textFill>
              </w:rPr>
            </w:pPr>
            <w:r>
              <w:rPr>
                <w:rFonts w:asciiTheme="minorEastAsia" w:hAnsiTheme="minorEastAsia"/>
                <w:bCs/>
                <w:color w:val="000000" w:themeColor="text1"/>
                <w14:textFill>
                  <w14:solidFill>
                    <w14:schemeClr w14:val="tx1"/>
                  </w14:solidFill>
                </w14:textFill>
              </w:rPr>
              <w:t>全额事业单位</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市新技术所</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color w:val="000000" w:themeColor="text1"/>
                <w:u w:val="single"/>
                <w14:textFill>
                  <w14:solidFill>
                    <w14:schemeClr w14:val="tx1"/>
                  </w14:solidFill>
                </w14:textFill>
              </w:rPr>
            </w:pPr>
            <w:r>
              <w:rPr>
                <w:rFonts w:asciiTheme="minorEastAsia" w:hAnsiTheme="minorEastAsia"/>
                <w:bCs/>
                <w:color w:val="000000" w:themeColor="text1"/>
                <w14:textFill>
                  <w14:solidFill>
                    <w14:schemeClr w14:val="tx1"/>
                  </w14:solidFill>
                </w14:textFill>
              </w:rPr>
              <w:t>全额事业单位</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4</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市科技交流中心</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b/>
                <w:color w:val="000000" w:themeColor="text1"/>
                <w:u w:val="single"/>
                <w14:textFill>
                  <w14:solidFill>
                    <w14:schemeClr w14:val="tx1"/>
                  </w14:solidFill>
                </w14:textFill>
              </w:rPr>
            </w:pPr>
            <w:r>
              <w:rPr>
                <w:rFonts w:asciiTheme="minorEastAsia" w:hAnsiTheme="minorEastAsia"/>
                <w:bCs/>
                <w:color w:val="000000" w:themeColor="text1"/>
                <w14:textFill>
                  <w14:solidFill>
                    <w14:schemeClr w14:val="tx1"/>
                  </w14:solidFill>
                </w14:textFill>
              </w:rPr>
              <w:t>差额事业单位</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5</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市专利技术展示中心</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bCs/>
                <w:color w:val="000000" w:themeColor="text1"/>
                <w14:textFill>
                  <w14:solidFill>
                    <w14:schemeClr w14:val="tx1"/>
                  </w14:solidFill>
                </w14:textFill>
              </w:rPr>
              <w:t>全额事业单位</w:t>
            </w:r>
          </w:p>
        </w:tc>
      </w:tr>
      <w:tr>
        <w:tblPrEx>
          <w:tblCellMar>
            <w:top w:w="0" w:type="dxa"/>
            <w:left w:w="0" w:type="dxa"/>
            <w:bottom w:w="0" w:type="dxa"/>
            <w:right w:w="0" w:type="dxa"/>
          </w:tblCellMar>
        </w:tblPrEx>
        <w:trPr>
          <w:trHeight w:val="536"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6</w:t>
            </w:r>
          </w:p>
        </w:tc>
        <w:tc>
          <w:tcPr>
            <w:tcW w:w="53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上海交通大学安徽（淮北）陶铝新材料研究院</w:t>
            </w:r>
          </w:p>
        </w:tc>
        <w:tc>
          <w:tcPr>
            <w:tcW w:w="2268" w:type="dxa"/>
            <w:tcBorders>
              <w:top w:val="nil"/>
              <w:left w:val="nil"/>
              <w:bottom w:val="single" w:color="auto" w:sz="8" w:space="0"/>
              <w:right w:val="single" w:color="auto" w:sz="8" w:space="0"/>
            </w:tcBorders>
            <w:shd w:val="clear" w:color="auto" w:fill="FFFFFF"/>
            <w:vAlign w:val="center"/>
          </w:tcPr>
          <w:p>
            <w:pPr>
              <w:adjustRightInd w:val="0"/>
              <w:jc w:val="center"/>
              <w:rPr>
                <w:rFonts w:asciiTheme="minorEastAsia" w:hAnsiTheme="minorEastAsia"/>
                <w:color w:val="000000" w:themeColor="text1"/>
                <w14:textFill>
                  <w14:solidFill>
                    <w14:schemeClr w14:val="tx1"/>
                  </w14:solidFill>
                </w14:textFill>
              </w:rPr>
            </w:pPr>
            <w:r>
              <w:rPr>
                <w:rFonts w:asciiTheme="minorEastAsia" w:hAnsiTheme="minorEastAsia"/>
                <w:bCs/>
                <w:color w:val="000000" w:themeColor="text1"/>
                <w14:textFill>
                  <w14:solidFill>
                    <w14:schemeClr w14:val="tx1"/>
                  </w14:solidFill>
                </w14:textFill>
              </w:rPr>
              <w:t>全额事业单位</w:t>
            </w:r>
          </w:p>
        </w:tc>
      </w:tr>
    </w:tbl>
    <w:p>
      <w:pPr>
        <w:pStyle w:val="5"/>
        <w:adjustRightInd w:val="0"/>
        <w:snapToGrid w:val="0"/>
        <w:spacing w:before="0" w:beforeAutospacing="0" w:after="0" w:afterAutospacing="0" w:line="560" w:lineRule="exact"/>
        <w:ind w:firstLine="627" w:firstLineChars="196"/>
        <w:rPr>
          <w:rFonts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三、2024年度主要工作任务</w:t>
      </w:r>
    </w:p>
    <w:p>
      <w:pPr>
        <w:pStyle w:val="4"/>
        <w:spacing w:after="0" w:line="58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（一）工作思路</w:t>
      </w:r>
    </w:p>
    <w:p>
      <w:pPr>
        <w:spacing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2024年，全市科技工作将继续面临机遇和挑战，市委九届六次全会对全市科技创新工作重要举措制定详细的分工方案，为科技下步发展明确了目标、指明了方向。市科技局将坚持以习近平新时代中国特色社会主义思想为指导，认真学习贯彻党的二十大精神，深入实施创新驱动发展战略，坚持以高水平创新型城市建设为旗帜性抓手，围绕全市“五群十链”产业强链补链延链布局创新链，着力提升创新投入，系统推进科技成果转化应用体系建设，</w:t>
      </w:r>
      <w:r>
        <w:rPr>
          <w:rFonts w:ascii="Times New Roman" w:hAnsi="Times New Roman" w:eastAsia="仿宋_GB2312" w:cs="Times New Roman"/>
          <w:color w:val="000000" w:themeColor="text1"/>
          <w:sz w:val="32"/>
          <w:szCs w:val="32"/>
          <w14:textFill>
            <w14:solidFill>
              <w14:schemeClr w14:val="tx1"/>
            </w14:solidFill>
          </w14:textFill>
        </w:rPr>
        <w:t>开辟淮北科技创新发展新领域新赛道，再造淮北经济发展新动能新优势，</w:t>
      </w:r>
      <w:r>
        <w:rPr>
          <w:rFonts w:ascii="Times New Roman" w:hAnsi="Times New Roman" w:eastAsia="仿宋_GB2312" w:cs="Times New Roman"/>
          <w:bCs/>
          <w:color w:val="000000" w:themeColor="text1"/>
          <w:sz w:val="32"/>
          <w:szCs w:val="32"/>
          <w14:textFill>
            <w14:solidFill>
              <w14:schemeClr w14:val="tx1"/>
            </w14:solidFill>
          </w14:textFill>
        </w:rPr>
        <w:t>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五宜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淮北建设贡献科技力量。</w:t>
      </w:r>
    </w:p>
    <w:p>
      <w:pPr>
        <w:pStyle w:val="4"/>
        <w:spacing w:after="0" w:line="58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（二）主要目标</w:t>
      </w:r>
    </w:p>
    <w:p>
      <w:pPr>
        <w:spacing w:line="580" w:lineRule="exact"/>
        <w:ind w:firstLine="640" w:firstLineChars="200"/>
        <w:jc w:val="both"/>
        <w:rPr>
          <w:rFonts w:ascii="Times New Roman" w:eastAsia="仿宋_GB2312"/>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不断完善科技成果转化应用体系，力争研究与试验发展经费投入同比增长8%；高新技术企业达到400家；完成吸纳技术合同交易额100亿元，输出技术合同交易额45亿元，产学研合作项目200项；实施省市科技项目20项；争创省级以上科技创新平台3家，认定（备案）市级科技创新平台20家；</w:t>
      </w:r>
      <w:r>
        <w:rPr>
          <w:rFonts w:hint="eastAsia" w:eastAsia="仿宋_GB2312"/>
          <w:bCs/>
          <w:color w:val="000000" w:themeColor="text1"/>
          <w:sz w:val="32"/>
          <w:szCs w:val="32"/>
          <w14:textFill>
            <w14:solidFill>
              <w14:schemeClr w14:val="tx1"/>
            </w14:solidFill>
          </w14:textFill>
        </w:rPr>
        <w:t>培育高层次科技人才团队</w:t>
      </w:r>
      <w:r>
        <w:rPr>
          <w:rFonts w:eastAsia="仿宋_GB2312"/>
          <w:bCs/>
          <w:color w:val="000000" w:themeColor="text1"/>
          <w:sz w:val="32"/>
          <w:szCs w:val="32"/>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个，认定</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人才飞地</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2</w:t>
      </w:r>
      <w:r>
        <w:rPr>
          <w:rFonts w:hint="eastAsia" w:eastAsia="仿宋_GB2312"/>
          <w:bCs/>
          <w:color w:val="000000" w:themeColor="text1"/>
          <w:sz w:val="32"/>
          <w:szCs w:val="32"/>
          <w14:textFill>
            <w14:solidFill>
              <w14:schemeClr w14:val="tx1"/>
            </w14:solidFill>
          </w14:textFill>
        </w:rPr>
        <w:t>个。</w:t>
      </w:r>
    </w:p>
    <w:p>
      <w:pPr>
        <w:pStyle w:val="5"/>
        <w:adjustRightInd w:val="0"/>
        <w:snapToGrid w:val="0"/>
        <w:spacing w:beforeLines="100" w:beforeAutospacing="0"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第二部分 2024年部门预算表</w:t>
      </w:r>
    </w:p>
    <w:p>
      <w:pPr>
        <w:pStyle w:val="5"/>
        <w:adjustRightInd w:val="0"/>
        <w:snapToGrid w:val="0"/>
        <w:spacing w:line="560" w:lineRule="exact"/>
        <w:jc w:val="center"/>
        <w:rPr>
          <w:rFonts w:ascii="TimesNewRoman" w:hAnsi="TimesNewRoman" w:eastAsia="仿宋_GB2312" w:cs="TimesNewRoman"/>
          <w:bCs/>
          <w:color w:val="000000" w:themeColor="text1"/>
          <w:sz w:val="32"/>
          <w:szCs w:val="32"/>
          <w14:textFill>
            <w14:solidFill>
              <w14:schemeClr w14:val="tx1"/>
            </w14:solidFill>
          </w14:textFill>
        </w:rPr>
      </w:pPr>
      <w:r>
        <w:rPr>
          <w:rFonts w:hint="eastAsia" w:ascii="TimesNewRoman" w:hAnsi="TimesNewRoman" w:eastAsia="仿宋_GB2312" w:cs="TimesNewRoman"/>
          <w:bCs/>
          <w:color w:val="000000" w:themeColor="text1"/>
          <w:sz w:val="32"/>
          <w:szCs w:val="32"/>
          <w14:textFill>
            <w14:solidFill>
              <w14:schemeClr w14:val="tx1"/>
            </w14:solidFill>
          </w14:textFill>
        </w:rPr>
        <w:t>见附件1</w:t>
      </w:r>
      <w:r>
        <w:rPr>
          <w:rFonts w:hint="eastAsia" w:ascii="仿宋_GB2312" w:hAnsi="TimesNewRoman" w:eastAsia="仿宋_GB2312" w:cs="TimesNewRoman"/>
          <w:bCs/>
          <w:color w:val="000000" w:themeColor="text1"/>
          <w:sz w:val="32"/>
          <w:szCs w:val="32"/>
          <w14:textFill>
            <w14:solidFill>
              <w14:schemeClr w14:val="tx1"/>
            </w14:solidFill>
          </w14:textFill>
        </w:rPr>
        <w:t>-</w:t>
      </w:r>
      <w:r>
        <w:rPr>
          <w:rFonts w:hint="eastAsia" w:ascii="TimesNewRoman" w:hAnsi="TimesNewRoman" w:eastAsia="仿宋_GB2312" w:cs="TimesNewRoman"/>
          <w:bCs/>
          <w:color w:val="000000" w:themeColor="text1"/>
          <w:sz w:val="32"/>
          <w:szCs w:val="32"/>
          <w14:textFill>
            <w14:solidFill>
              <w14:schemeClr w14:val="tx1"/>
            </w14:solidFill>
          </w14:textFill>
        </w:rPr>
        <w:t>2</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5"/>
        <w:adjustRightInd w:val="0"/>
        <w:snapToGrid w:val="0"/>
        <w:spacing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第三部分 2024年部门预算情况说明</w:t>
      </w:r>
    </w:p>
    <w:p>
      <w:pPr>
        <w:rPr>
          <w:color w:val="000000" w:themeColor="text1"/>
          <w14:textFill>
            <w14:solidFill>
              <w14:schemeClr w14:val="tx1"/>
            </w14:solidFill>
          </w14:textFill>
        </w:rPr>
      </w:pP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一、关于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年收支总表的说明</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按照综合预算的原则，淮北市科技局所有收入和支出均纳入部门预算管理。淮北市科技局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年收支总预算</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万元，收入包括一般公共预算拨款收入，支出包括：</w:t>
      </w:r>
      <w:r>
        <w:rPr>
          <w:rFonts w:ascii="Times New Roman" w:hAnsi="Times New Roman" w:eastAsia="仿宋_GB2312" w:cs="Times New Roman"/>
          <w:color w:val="000000" w:themeColor="text1"/>
          <w:kern w:val="2"/>
          <w:sz w:val="32"/>
          <w:szCs w:val="32"/>
          <w14:textFill>
            <w14:solidFill>
              <w14:schemeClr w14:val="tx1"/>
            </w14:solidFill>
          </w14:textFill>
        </w:rPr>
        <w:t>科学技术支出</w:t>
      </w:r>
      <w:r>
        <w:rPr>
          <w:rFonts w:ascii="Times New Roman" w:hAnsi="Times New Roman" w:eastAsia="仿宋_GB2312" w:cs="Times New Roman"/>
          <w:color w:val="000000" w:themeColor="text1"/>
          <w:sz w:val="32"/>
          <w:szCs w:val="32"/>
          <w14:textFill>
            <w14:solidFill>
              <w14:schemeClr w14:val="tx1"/>
            </w14:solidFill>
          </w14:textFill>
        </w:rPr>
        <w:t>、社会保障和就业支出、卫生健康支出、住房保障支出。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二、关于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年收入总表的说明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年收入预算</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万元，其中，本年收入</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w:t>
      </w:r>
    </w:p>
    <w:p>
      <w:pPr>
        <w:spacing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b/>
          <w:color w:val="000000" w:themeColor="text1"/>
          <w:sz w:val="32"/>
          <w:szCs w:val="32"/>
          <w14:textFill>
            <w14:solidFill>
              <w14:schemeClr w14:val="tx1"/>
            </w14:solidFill>
          </w14:textFill>
        </w:rPr>
        <w:t>（一）本年收入</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b/>
          <w:color w:val="000000" w:themeColor="text1"/>
          <w:sz w:val="32"/>
          <w:szCs w:val="32"/>
          <w14:textFill>
            <w14:solidFill>
              <w14:schemeClr w14:val="tx1"/>
            </w14:solidFill>
          </w14:textFill>
        </w:rPr>
        <w:t>万元，</w:t>
      </w:r>
      <w:r>
        <w:rPr>
          <w:rFonts w:ascii="Times New Roman" w:hAnsi="TimesNewRoman" w:eastAsia="仿宋_GB2312" w:cs="Times New Roman"/>
          <w:color w:val="000000" w:themeColor="text1"/>
          <w:sz w:val="32"/>
          <w:szCs w:val="32"/>
          <w14:textFill>
            <w14:solidFill>
              <w14:schemeClr w14:val="tx1"/>
            </w14:solidFill>
          </w14:textFill>
        </w:rPr>
        <w:t>主要包括：一般公共预算拨款收入</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100%</w:t>
      </w:r>
      <w:r>
        <w:rPr>
          <w:rFonts w:ascii="Times New Roman" w:hAnsi="TimesNewRoman" w:eastAsia="仿宋_GB2312" w:cs="Times New Roman"/>
          <w:color w:val="000000" w:themeColor="text1"/>
          <w:sz w:val="32"/>
          <w:szCs w:val="32"/>
          <w14:textFill>
            <w14:solidFill>
              <w14:schemeClr w14:val="tx1"/>
            </w14:solidFill>
          </w14:textFill>
        </w:rPr>
        <w:t>，比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4008.62</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249%</w:t>
      </w:r>
      <w:r>
        <w:rPr>
          <w:rFonts w:ascii="Times New Roman" w:hAnsi="TimesNewRoman" w:eastAsia="仿宋_GB2312" w:cs="Times New Roman"/>
          <w:color w:val="000000" w:themeColor="text1"/>
          <w:sz w:val="32"/>
          <w:szCs w:val="32"/>
          <w14:textFill>
            <w14:solidFill>
              <w14:schemeClr w14:val="tx1"/>
            </w14:solidFill>
          </w14:textFill>
        </w:rPr>
        <w:t>，原因主要是科技创新若干政策奖补资金今年纳入本部门预算。</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三、关于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年支出总表的说明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年支出预算</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4008.62</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249%</w:t>
      </w:r>
      <w:r>
        <w:rPr>
          <w:rFonts w:ascii="Times New Roman" w:hAnsi="TimesNewRoman" w:eastAsia="仿宋_GB2312" w:cs="Times New Roman"/>
          <w:color w:val="000000" w:themeColor="text1"/>
          <w:sz w:val="32"/>
          <w:szCs w:val="32"/>
          <w14:textFill>
            <w14:solidFill>
              <w14:schemeClr w14:val="tx1"/>
            </w14:solidFill>
          </w14:textFill>
        </w:rPr>
        <w:t>，原因主要是科技创新若干政策奖补资金今年纳入本部门预算。其中，基本支出</w:t>
      </w:r>
      <w:r>
        <w:rPr>
          <w:rFonts w:ascii="Times New Roman" w:hAnsi="Times New Roman" w:eastAsia="仿宋_GB2312" w:cs="Times New Roman"/>
          <w:color w:val="000000" w:themeColor="text1"/>
          <w:sz w:val="32"/>
          <w:szCs w:val="32"/>
          <w14:textFill>
            <w14:solidFill>
              <w14:schemeClr w14:val="tx1"/>
            </w14:solidFill>
          </w14:textFill>
        </w:rPr>
        <w:t>974.24</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17.3%</w:t>
      </w:r>
      <w:r>
        <w:rPr>
          <w:rFonts w:ascii="Times New Roman" w:hAnsi="TimesNewRoman" w:eastAsia="仿宋_GB2312" w:cs="Times New Roman"/>
          <w:color w:val="000000" w:themeColor="text1"/>
          <w:sz w:val="32"/>
          <w:szCs w:val="32"/>
          <w14:textFill>
            <w14:solidFill>
              <w14:schemeClr w14:val="tx1"/>
            </w14:solidFill>
          </w14:textFill>
        </w:rPr>
        <w:t>，主要用于保障机构日常运转、完成日常工作任务；项目支出</w:t>
      </w:r>
      <w:r>
        <w:rPr>
          <w:rFonts w:ascii="Times New Roman" w:hAnsi="Times New Roman" w:eastAsia="仿宋_GB2312" w:cs="Times New Roman"/>
          <w:color w:val="000000" w:themeColor="text1"/>
          <w:sz w:val="32"/>
          <w:szCs w:val="32"/>
          <w14:textFill>
            <w14:solidFill>
              <w14:schemeClr w14:val="tx1"/>
            </w14:solidFill>
          </w14:textFill>
        </w:rPr>
        <w:t>4646.5</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82.7%</w:t>
      </w:r>
      <w:r>
        <w:rPr>
          <w:rFonts w:ascii="Times New Roman" w:hAnsi="TimesNewRoman" w:eastAsia="仿宋_GB2312" w:cs="Times New Roman"/>
          <w:color w:val="000000" w:themeColor="text1"/>
          <w:sz w:val="32"/>
          <w:szCs w:val="32"/>
          <w14:textFill>
            <w14:solidFill>
              <w14:schemeClr w14:val="tx1"/>
            </w14:solidFill>
          </w14:textFill>
        </w:rPr>
        <w:t>，主要用于科技创新若干政策奖补资金和</w:t>
      </w:r>
      <w:r>
        <w:rPr>
          <w:rFonts w:ascii="Times New Roman" w:hAnsi="Times New Roman" w:eastAsia="仿宋_GB2312" w:cs="Times New Roman"/>
          <w:color w:val="000000" w:themeColor="text1"/>
          <w:sz w:val="32"/>
          <w:szCs w:val="32"/>
          <w14:textFill>
            <w14:solidFill>
              <w14:schemeClr w14:val="tx1"/>
            </w14:solidFill>
          </w14:textFill>
        </w:rPr>
        <w:t>上海交通大学安徽（淮北）陶铝新材料研究院工作经费等</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四、关于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年财政拨款收支总表的说明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年财政拨款收支预算</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万元。收入按资金来源分为：一般公共预算拨款</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万元；按资金年度分为：本年财政拨款收入</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万元。支出按功能分类分为：</w:t>
      </w:r>
      <w:r>
        <w:rPr>
          <w:rFonts w:ascii="Times New Roman" w:hAnsi="Times New Roman" w:eastAsia="仿宋_GB2312" w:cs="Times New Roman"/>
          <w:color w:val="000000" w:themeColor="text1"/>
          <w:sz w:val="32"/>
          <w:szCs w:val="32"/>
          <w14:textFill>
            <w14:solidFill>
              <w14:schemeClr w14:val="tx1"/>
            </w14:solidFill>
          </w14:textFill>
        </w:rPr>
        <w:t>科学技术支出5230.72万元，占93.1%</w:t>
      </w:r>
      <w:r>
        <w:rPr>
          <w:rFonts w:ascii="Times New Roman" w:hAnsi="TimesNewRoman" w:eastAsia="仿宋_GB2312" w:cs="Times New Roman"/>
          <w:color w:val="000000" w:themeColor="text1"/>
          <w:sz w:val="32"/>
          <w:szCs w:val="32"/>
          <w14:textFill>
            <w14:solidFill>
              <w14:schemeClr w14:val="tx1"/>
            </w14:solidFill>
          </w14:textFill>
        </w:rPr>
        <w:t>；社会保障和就业支出</w:t>
      </w:r>
      <w:r>
        <w:rPr>
          <w:rFonts w:ascii="Times New Roman" w:hAnsi="Times New Roman" w:eastAsia="仿宋_GB2312" w:cs="Times New Roman"/>
          <w:color w:val="000000" w:themeColor="text1"/>
          <w:sz w:val="32"/>
          <w:szCs w:val="32"/>
          <w14:textFill>
            <w14:solidFill>
              <w14:schemeClr w14:val="tx1"/>
            </w14:solidFill>
          </w14:textFill>
        </w:rPr>
        <w:t>225.06</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；卫生健康支出</w:t>
      </w:r>
      <w:r>
        <w:rPr>
          <w:rFonts w:ascii="Times New Roman" w:hAnsi="Times New Roman" w:eastAsia="仿宋_GB2312" w:cs="Times New Roman"/>
          <w:color w:val="000000" w:themeColor="text1"/>
          <w:sz w:val="32"/>
          <w:szCs w:val="32"/>
          <w14:textFill>
            <w14:solidFill>
              <w14:schemeClr w14:val="tx1"/>
            </w14:solidFill>
          </w14:textFill>
        </w:rPr>
        <w:t>38.34</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0.6%</w:t>
      </w:r>
      <w:r>
        <w:rPr>
          <w:rFonts w:ascii="Times New Roman" w:hAnsi="TimesNewRoman" w:eastAsia="仿宋_GB2312" w:cs="Times New Roman"/>
          <w:color w:val="000000" w:themeColor="text1"/>
          <w:sz w:val="32"/>
          <w:szCs w:val="32"/>
          <w14:textFill>
            <w14:solidFill>
              <w14:schemeClr w14:val="tx1"/>
            </w14:solidFill>
          </w14:textFill>
        </w:rPr>
        <w:t>；住房保障支出</w:t>
      </w:r>
      <w:r>
        <w:rPr>
          <w:rFonts w:ascii="Times New Roman" w:hAnsi="Times New Roman" w:eastAsia="仿宋_GB2312" w:cs="Times New Roman"/>
          <w:color w:val="000000" w:themeColor="text1"/>
          <w:sz w:val="32"/>
          <w:szCs w:val="32"/>
          <w14:textFill>
            <w14:solidFill>
              <w14:schemeClr w14:val="tx1"/>
            </w14:solidFill>
          </w14:textFill>
        </w:rPr>
        <w:t>126.62</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五、关于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年一般公共预算支出表的说明</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color w:val="000000" w:themeColor="text1"/>
          <w:sz w:val="32"/>
          <w:szCs w:val="32"/>
          <w14:textFill>
            <w14:solidFill>
              <w14:schemeClr w14:val="tx1"/>
            </w14:solidFill>
          </w14:textFill>
        </w:rPr>
        <w:t>（一）一般公共预算支出规模变化情况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年一般公共预算支出</w:t>
      </w:r>
      <w:r>
        <w:rPr>
          <w:rFonts w:ascii="Times New Roman" w:hAnsi="Times New Roman" w:eastAsia="仿宋_GB2312" w:cs="Times New Roman"/>
          <w:color w:val="000000" w:themeColor="text1"/>
          <w:sz w:val="32"/>
          <w:szCs w:val="32"/>
          <w14:textFill>
            <w14:solidFill>
              <w14:schemeClr w14:val="tx1"/>
            </w14:solidFill>
          </w14:textFill>
        </w:rPr>
        <w:t>5620.74</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4008.62</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249%</w:t>
      </w:r>
      <w:r>
        <w:rPr>
          <w:rFonts w:ascii="Times New Roman" w:hAnsi="TimesNewRoman" w:eastAsia="仿宋_GB2312" w:cs="Times New Roman"/>
          <w:color w:val="000000" w:themeColor="text1"/>
          <w:sz w:val="32"/>
          <w:szCs w:val="32"/>
          <w14:textFill>
            <w14:solidFill>
              <w14:schemeClr w14:val="tx1"/>
            </w14:solidFill>
          </w14:textFill>
        </w:rPr>
        <w:t>，原因主要是科技创新若干政策奖补资金今年纳入本部门预算。</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color w:val="000000" w:themeColor="text1"/>
          <w:sz w:val="32"/>
          <w:szCs w:val="32"/>
          <w14:textFill>
            <w14:solidFill>
              <w14:schemeClr w14:val="tx1"/>
            </w14:solidFill>
          </w14:textFill>
        </w:rPr>
        <w:t>（二）一般公共预算支出结构情况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科学技术支出5230.72万元，占93.1%</w:t>
      </w:r>
      <w:r>
        <w:rPr>
          <w:rFonts w:ascii="Times New Roman" w:hAnsi="TimesNewRoman" w:eastAsia="仿宋_GB2312" w:cs="Times New Roman"/>
          <w:color w:val="000000" w:themeColor="text1"/>
          <w:sz w:val="32"/>
          <w:szCs w:val="32"/>
          <w14:textFill>
            <w14:solidFill>
              <w14:schemeClr w14:val="tx1"/>
            </w14:solidFill>
          </w14:textFill>
        </w:rPr>
        <w:t>；社会保障和就业支出</w:t>
      </w:r>
      <w:r>
        <w:rPr>
          <w:rFonts w:ascii="Times New Roman" w:hAnsi="Times New Roman" w:eastAsia="仿宋_GB2312" w:cs="Times New Roman"/>
          <w:color w:val="000000" w:themeColor="text1"/>
          <w:sz w:val="32"/>
          <w:szCs w:val="32"/>
          <w14:textFill>
            <w14:solidFill>
              <w14:schemeClr w14:val="tx1"/>
            </w14:solidFill>
          </w14:textFill>
        </w:rPr>
        <w:t>225.06</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；卫生健康支出</w:t>
      </w:r>
      <w:r>
        <w:rPr>
          <w:rFonts w:ascii="Times New Roman" w:hAnsi="Times New Roman" w:eastAsia="仿宋_GB2312" w:cs="Times New Roman"/>
          <w:color w:val="000000" w:themeColor="text1"/>
          <w:sz w:val="32"/>
          <w:szCs w:val="32"/>
          <w14:textFill>
            <w14:solidFill>
              <w14:schemeClr w14:val="tx1"/>
            </w14:solidFill>
          </w14:textFill>
        </w:rPr>
        <w:t>38.34</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0.6%</w:t>
      </w:r>
      <w:r>
        <w:rPr>
          <w:rFonts w:ascii="Times New Roman" w:hAnsi="TimesNewRoman" w:eastAsia="仿宋_GB2312" w:cs="Times New Roman"/>
          <w:color w:val="000000" w:themeColor="text1"/>
          <w:sz w:val="32"/>
          <w:szCs w:val="32"/>
          <w14:textFill>
            <w14:solidFill>
              <w14:schemeClr w14:val="tx1"/>
            </w14:solidFill>
          </w14:textFill>
        </w:rPr>
        <w:t>；住房保障支出</w:t>
      </w:r>
      <w:r>
        <w:rPr>
          <w:rFonts w:ascii="Times New Roman" w:hAnsi="Times New Roman" w:eastAsia="仿宋_GB2312" w:cs="Times New Roman"/>
          <w:color w:val="000000" w:themeColor="text1"/>
          <w:sz w:val="32"/>
          <w:szCs w:val="32"/>
          <w14:textFill>
            <w14:solidFill>
              <w14:schemeClr w14:val="tx1"/>
            </w14:solidFill>
          </w14:textFill>
        </w:rPr>
        <w:t>126.62</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color w:val="000000" w:themeColor="text1"/>
          <w:sz w:val="32"/>
          <w:szCs w:val="32"/>
          <w14:textFill>
            <w14:solidFill>
              <w14:schemeClr w14:val="tx1"/>
            </w14:solidFill>
          </w14:textFill>
        </w:rPr>
        <w:t>（三）一般公共预算支出具体使用情况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NewRoman" w:eastAsia="仿宋_GB2312" w:cs="Times New Roman"/>
          <w:color w:val="000000" w:themeColor="text1"/>
          <w:sz w:val="32"/>
          <w:szCs w:val="32"/>
          <w14:textFill>
            <w14:solidFill>
              <w14:schemeClr w14:val="tx1"/>
            </w14:solidFill>
          </w14:textFill>
        </w:rPr>
        <w:t>、科学技术支出（类）科学技术管理事务（款）行政运行（项）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349.18</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ascii="Times New Roman" w:hAnsi="Times New Roman" w:eastAsia="仿宋_GB2312" w:cs="Times New Roman"/>
          <w:color w:val="000000" w:themeColor="text1"/>
          <w:sz w:val="32"/>
          <w:szCs w:val="32"/>
          <w14:textFill>
            <w14:solidFill>
              <w14:schemeClr w14:val="tx1"/>
            </w14:solidFill>
          </w14:textFill>
        </w:rPr>
        <w:t>4.41</w:t>
      </w:r>
      <w:r>
        <w:rPr>
          <w:rFonts w:ascii="Times New Roman" w:hAnsi="TimesNewRoman" w:eastAsia="仿宋_GB2312" w:cs="Times New Roman"/>
          <w:color w:val="000000" w:themeColor="text1"/>
          <w:sz w:val="32"/>
          <w:szCs w:val="32"/>
          <w14:textFill>
            <w14:solidFill>
              <w14:schemeClr w14:val="tx1"/>
            </w14:solidFill>
          </w14:textFill>
        </w:rPr>
        <w:t>万元，下降</w:t>
      </w:r>
      <w:r>
        <w:rPr>
          <w:rFonts w:ascii="Times New Roman" w:hAnsi="Times New Roman" w:eastAsia="仿宋_GB2312" w:cs="Times New Roman"/>
          <w:color w:val="000000" w:themeColor="text1"/>
          <w:sz w:val="32"/>
          <w:szCs w:val="32"/>
          <w14:textFill>
            <w14:solidFill>
              <w14:schemeClr w14:val="tx1"/>
            </w14:solidFill>
          </w14:textFill>
        </w:rPr>
        <w:t>1.2%</w:t>
      </w:r>
      <w:r>
        <w:rPr>
          <w:rFonts w:ascii="Times New Roman" w:hAnsi="TimesNewRoman" w:eastAsia="仿宋_GB2312" w:cs="Times New Roman"/>
          <w:color w:val="000000" w:themeColor="text1"/>
          <w:sz w:val="32"/>
          <w:szCs w:val="32"/>
          <w14:textFill>
            <w14:solidFill>
              <w14:schemeClr w14:val="tx1"/>
            </w14:solidFill>
          </w14:textFill>
        </w:rPr>
        <w:t>，原因主要是人员经费减少因素。</w:t>
      </w:r>
    </w:p>
    <w:p>
      <w:pPr>
        <w:widowControl w:val="0"/>
        <w:spacing w:line="580" w:lineRule="exact"/>
        <w:ind w:firstLine="640" w:firstLineChars="200"/>
        <w:jc w:val="both"/>
        <w:rPr>
          <w:rFonts w:ascii="Times New Roman" w:hAnsi="TimesNew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NewRoman" w:eastAsia="仿宋_GB2312" w:cs="Times New Roman"/>
          <w:color w:val="000000" w:themeColor="text1"/>
          <w:sz w:val="32"/>
          <w:szCs w:val="32"/>
          <w14:textFill>
            <w14:solidFill>
              <w14:schemeClr w14:val="tx1"/>
            </w14:solidFill>
          </w14:textFill>
        </w:rPr>
        <w:t>、科学技术支出（类）科学技术管理事务（款）一般行政管理事务（项）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67.3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67.3</w:t>
      </w:r>
      <w:r>
        <w:rPr>
          <w:rFonts w:ascii="Times New Roman" w:hAnsi="TimesNewRoman" w:eastAsia="仿宋_GB2312" w:cs="Times New Roman"/>
          <w:color w:val="000000" w:themeColor="text1"/>
          <w:sz w:val="32"/>
          <w:szCs w:val="32"/>
          <w14:textFill>
            <w14:solidFill>
              <w14:schemeClr w14:val="tx1"/>
            </w14:solidFill>
          </w14:textFill>
        </w:rPr>
        <w:t>万元，原因主要是使用功能科目不同因素。</w:t>
      </w:r>
    </w:p>
    <w:p>
      <w:pPr>
        <w:widowControl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NewRoman" w:eastAsia="仿宋_GB2312" w:cs="Times New Roman"/>
          <w:color w:val="000000" w:themeColor="text1"/>
          <w:sz w:val="32"/>
          <w:szCs w:val="32"/>
          <w14:textFill>
            <w14:solidFill>
              <w14:schemeClr w14:val="tx1"/>
            </w14:solidFill>
          </w14:textFill>
        </w:rPr>
        <w:t>、科学技术支出（类）基础研究（款）机构运行（项）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58.48</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19.12</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48.5%</w:t>
      </w:r>
      <w:r>
        <w:rPr>
          <w:rFonts w:ascii="Times New Roman" w:hAnsi="TimesNewRoman" w:eastAsia="仿宋_GB2312" w:cs="Times New Roman"/>
          <w:color w:val="000000" w:themeColor="text1"/>
          <w:sz w:val="32"/>
          <w:szCs w:val="32"/>
          <w14:textFill>
            <w14:solidFill>
              <w14:schemeClr w14:val="tx1"/>
            </w14:solidFill>
          </w14:textFill>
        </w:rPr>
        <w:t>，原因主要是使用功能科目不同因素。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、科学技术支出（类）科技交流与合作（款）其他科技交流与合作（项）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52.23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1.18</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NewRoman" w:eastAsia="仿宋_GB2312" w:cs="Times New Roman"/>
          <w:color w:val="000000" w:themeColor="text1"/>
          <w:sz w:val="32"/>
          <w:szCs w:val="32"/>
          <w14:textFill>
            <w14:solidFill>
              <w14:schemeClr w14:val="tx1"/>
            </w14:solidFill>
          </w14:textFill>
        </w:rPr>
        <w:t>、科学技术支出（类）其他科学技术支出（款）其他科学技术支出（项）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4703.52</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3994.56</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563%</w:t>
      </w:r>
      <w:r>
        <w:rPr>
          <w:rFonts w:ascii="Times New Roman" w:hAnsi="TimesNewRoman" w:eastAsia="仿宋_GB2312" w:cs="Times New Roman"/>
          <w:color w:val="000000" w:themeColor="text1"/>
          <w:sz w:val="32"/>
          <w:szCs w:val="32"/>
          <w14:textFill>
            <w14:solidFill>
              <w14:schemeClr w14:val="tx1"/>
            </w14:solidFill>
          </w14:textFill>
        </w:rPr>
        <w:t>，原因主要是科技创新若干政策奖补资金今年纳入本部门预算。</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、社会保障和就业支出（类）行政事业单位养老支出（款）行政单位离退休（项）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102.98</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10.78</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11.7%</w:t>
      </w:r>
      <w:r>
        <w:rPr>
          <w:rFonts w:ascii="Times New Roman" w:hAnsi="TimesNewRoman" w:eastAsia="仿宋_GB2312" w:cs="Times New Roman"/>
          <w:color w:val="000000" w:themeColor="text1"/>
          <w:sz w:val="32"/>
          <w:szCs w:val="32"/>
          <w14:textFill>
            <w14:solidFill>
              <w14:schemeClr w14:val="tx1"/>
            </w14:solidFill>
          </w14:textFill>
        </w:rPr>
        <w:t>，原因主要是退休人员增加因素。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、社会保障和就业支出（类）行政事业单位养老支出（款）机关事业单位基本养老保险缴费支出（项）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76.53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0.11</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0.1%</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、社会保障和就业支出（类）行政事业单位养老支出（款）机关事业单位职业年金缴费支出（项）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38.26</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0.05</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0.1%</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widowControl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NewRoman" w:eastAsia="仿宋_GB2312" w:cs="Times New Roman"/>
          <w:color w:val="000000" w:themeColor="text1"/>
          <w:sz w:val="32"/>
          <w:szCs w:val="32"/>
          <w14:textFill>
            <w14:solidFill>
              <w14:schemeClr w14:val="tx1"/>
            </w14:solidFill>
          </w14:textFill>
        </w:rPr>
        <w:t>、社会保障和就业支出（类）其他社会保障和就业支出（款）其他社会保障和就业支出（项）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7.29</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3.41</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88%</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、卫生健康支出（类）行政事业单位医疗（款）行政单位医疗（项）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24.24</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4.5</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11</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、卫生健康支出（类）行政事业单位医疗（款）事业单位医疗（项）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4.75</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ascii="Times New Roman" w:hAnsi="Times New Roman" w:eastAsia="仿宋_GB2312" w:cs="Times New Roman"/>
          <w:color w:val="000000" w:themeColor="text1"/>
          <w:sz w:val="32"/>
          <w:szCs w:val="32"/>
          <w14:textFill>
            <w14:solidFill>
              <w14:schemeClr w14:val="tx1"/>
            </w14:solidFill>
          </w14:textFill>
        </w:rPr>
        <w:t>7.86</w:t>
      </w:r>
      <w:r>
        <w:rPr>
          <w:rFonts w:ascii="Times New Roman" w:hAnsi="TimesNewRoman" w:eastAsia="仿宋_GB2312" w:cs="Times New Roman"/>
          <w:color w:val="000000" w:themeColor="text1"/>
          <w:sz w:val="32"/>
          <w:szCs w:val="32"/>
          <w14:textFill>
            <w14:solidFill>
              <w14:schemeClr w14:val="tx1"/>
            </w14:solidFill>
          </w14:textFill>
        </w:rPr>
        <w:t>万元，减少</w:t>
      </w:r>
      <w:r>
        <w:rPr>
          <w:rFonts w:ascii="Times New Roman" w:hAnsi="Times New Roman" w:eastAsia="仿宋_GB2312" w:cs="Times New Roman"/>
          <w:color w:val="000000" w:themeColor="text1"/>
          <w:sz w:val="32"/>
          <w:szCs w:val="32"/>
          <w14:textFill>
            <w14:solidFill>
              <w14:schemeClr w14:val="tx1"/>
            </w14:solidFill>
          </w14:textFill>
        </w:rPr>
        <w:t>62%</w:t>
      </w:r>
      <w:r>
        <w:rPr>
          <w:rFonts w:ascii="Times New Roman" w:hAnsi="TimesNewRoman" w:eastAsia="仿宋_GB2312" w:cs="Times New Roman"/>
          <w:color w:val="000000" w:themeColor="text1"/>
          <w:sz w:val="32"/>
          <w:szCs w:val="32"/>
          <w14:textFill>
            <w14:solidFill>
              <w14:schemeClr w14:val="tx1"/>
            </w14:solidFill>
          </w14:textFill>
        </w:rPr>
        <w:t>，原因主要是两事业单位人员并入使用功能科目不同因素。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12</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、卫生健康支出（类）行政事业单位医疗（款）公务员医疗补助（项）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9.35</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ascii="Times New Roman" w:hAnsi="Times New Roman" w:eastAsia="仿宋_GB2312" w:cs="Times New Roman"/>
          <w:color w:val="000000" w:themeColor="text1"/>
          <w:sz w:val="32"/>
          <w:szCs w:val="32"/>
          <w14:textFill>
            <w14:solidFill>
              <w14:schemeClr w14:val="tx1"/>
            </w14:solidFill>
          </w14:textFill>
        </w:rPr>
        <w:t>2.22</w:t>
      </w:r>
      <w:r>
        <w:rPr>
          <w:rFonts w:ascii="Times New Roman" w:hAnsi="TimesNewRoman" w:eastAsia="仿宋_GB2312" w:cs="Times New Roman"/>
          <w:color w:val="000000" w:themeColor="text1"/>
          <w:sz w:val="32"/>
          <w:szCs w:val="32"/>
          <w14:textFill>
            <w14:solidFill>
              <w14:schemeClr w14:val="tx1"/>
            </w14:solidFill>
          </w14:textFill>
        </w:rPr>
        <w:t>万元，减少</w:t>
      </w:r>
      <w:r>
        <w:rPr>
          <w:rFonts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NewRoman" w:eastAsia="仿宋_GB2312" w:cs="Times New Roman"/>
          <w:color w:val="000000" w:themeColor="text1"/>
          <w:sz w:val="32"/>
          <w:szCs w:val="32"/>
          <w14:textFill>
            <w14:solidFill>
              <w14:schemeClr w14:val="tx1"/>
            </w14:solidFill>
          </w14:textFill>
        </w:rPr>
        <w:t>，原因主要是使用功能科目不同因素。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13</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、住房保障支出（类）住房改革支出（款）住房公积金（项）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75.97</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1.47</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14</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、住房保障支出（类）住房改革支出（款）购房补贴（项）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31.66</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1.25</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，原因主要是人员经费增加因素。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、住房保障支出（类）住房改革支出（款）提租补贴（项）</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w:t>
      </w:r>
      <w:r>
        <w:rPr>
          <w:rFonts w:ascii="Times New Roman" w:hAnsi="Times New Roman" w:eastAsia="仿宋_GB2312" w:cs="Times New Roman"/>
          <w:color w:val="000000" w:themeColor="text1"/>
          <w:sz w:val="32"/>
          <w:szCs w:val="32"/>
          <w14:textFill>
            <w14:solidFill>
              <w14:schemeClr w14:val="tx1"/>
            </w14:solidFill>
          </w14:textFill>
        </w:rPr>
        <w:t>18.99</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18.99</w:t>
      </w:r>
      <w:r>
        <w:rPr>
          <w:rFonts w:ascii="Times New Roman" w:hAnsi="TimesNewRoman" w:eastAsia="仿宋_GB2312" w:cs="Times New Roman"/>
          <w:color w:val="000000" w:themeColor="text1"/>
          <w:sz w:val="32"/>
          <w:szCs w:val="32"/>
          <w14:textFill>
            <w14:solidFill>
              <w14:schemeClr w14:val="tx1"/>
            </w14:solidFill>
          </w14:textFill>
        </w:rPr>
        <w:t>万元，原因主要是新增提租补贴经费因素。</w:t>
      </w:r>
    </w:p>
    <w:p>
      <w:pPr>
        <w:pStyle w:val="5"/>
        <w:widowControl w:val="0"/>
        <w:adjustRightInd w:val="0"/>
        <w:snapToGrid w:val="0"/>
        <w:spacing w:before="0" w:beforeAutospacing="0" w:after="0" w:afterAutospacing="0" w:line="580" w:lineRule="exact"/>
        <w:ind w:firstLine="640" w:firstLineChars="200"/>
        <w:jc w:val="both"/>
        <w:rPr>
          <w:rFonts w:ascii="Times New Roman" w:hAnsi="TimesNew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六、关于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年一般公共预算基本支出表的说明</w:t>
      </w:r>
    </w:p>
    <w:p>
      <w:pPr>
        <w:pStyle w:val="5"/>
        <w:widowControl w:val="0"/>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年一般公共预算基本支出</w:t>
      </w:r>
      <w:r>
        <w:rPr>
          <w:rFonts w:ascii="Times New Roman" w:hAnsi="Times New Roman" w:eastAsia="仿宋_GB2312" w:cs="Times New Roman"/>
          <w:color w:val="000000" w:themeColor="text1"/>
          <w:sz w:val="32"/>
          <w:szCs w:val="32"/>
          <w14:textFill>
            <w14:solidFill>
              <w14:schemeClr w14:val="tx1"/>
            </w14:solidFill>
          </w14:textFill>
        </w:rPr>
        <w:t>974.24</w:t>
      </w:r>
      <w:r>
        <w:rPr>
          <w:rFonts w:ascii="Times New Roman" w:hAnsi="TimesNewRoman" w:eastAsia="仿宋_GB2312" w:cs="Times New Roman"/>
          <w:color w:val="000000" w:themeColor="text1"/>
          <w:sz w:val="32"/>
          <w:szCs w:val="32"/>
          <w14:textFill>
            <w14:solidFill>
              <w14:schemeClr w14:val="tx1"/>
            </w14:solidFill>
          </w14:textFill>
        </w:rPr>
        <w:t>万元，其中，人员经费</w:t>
      </w:r>
      <w:r>
        <w:rPr>
          <w:rFonts w:ascii="Times New Roman" w:hAnsi="Times New Roman" w:eastAsia="仿宋_GB2312" w:cs="Times New Roman"/>
          <w:color w:val="000000" w:themeColor="text1"/>
          <w:sz w:val="32"/>
          <w:szCs w:val="32"/>
          <w14:textFill>
            <w14:solidFill>
              <w14:schemeClr w14:val="tx1"/>
            </w14:solidFill>
          </w14:textFill>
        </w:rPr>
        <w:t>891.76</w:t>
      </w:r>
      <w:r>
        <w:rPr>
          <w:rFonts w:ascii="Times New Roman" w:hAnsi="TimesNewRoman" w:eastAsia="仿宋_GB2312" w:cs="Times New Roman"/>
          <w:color w:val="000000" w:themeColor="text1"/>
          <w:sz w:val="32"/>
          <w:szCs w:val="32"/>
          <w14:textFill>
            <w14:solidFill>
              <w14:schemeClr w14:val="tx1"/>
            </w14:solidFill>
          </w14:textFill>
        </w:rPr>
        <w:t>万元，公用经费</w:t>
      </w:r>
      <w:r>
        <w:rPr>
          <w:rFonts w:ascii="Times New Roman" w:hAnsi="Times New Roman" w:eastAsia="仿宋_GB2312" w:cs="Times New Roman"/>
          <w:color w:val="000000" w:themeColor="text1"/>
          <w:sz w:val="32"/>
          <w:szCs w:val="32"/>
          <w14:textFill>
            <w14:solidFill>
              <w14:schemeClr w14:val="tx1"/>
            </w14:solidFill>
          </w14:textFill>
        </w:rPr>
        <w:t>82.48</w:t>
      </w:r>
      <w:r>
        <w:rPr>
          <w:rFonts w:ascii="Times New Roman" w:hAnsi="TimesNewRoman" w:eastAsia="仿宋_GB2312" w:cs="Times New Roman"/>
          <w:color w:val="000000" w:themeColor="text1"/>
          <w:sz w:val="32"/>
          <w:szCs w:val="32"/>
          <w14:textFill>
            <w14:solidFill>
              <w14:schemeClr w14:val="tx1"/>
            </w14:solidFill>
          </w14:textFill>
        </w:rPr>
        <w:t>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（一）人员经费</w:t>
      </w:r>
      <w:r>
        <w:rPr>
          <w:rFonts w:ascii="Times New Roman" w:hAnsi="Times New Roman" w:eastAsia="仿宋_GB2312" w:cs="Times New Roman"/>
          <w:color w:val="000000" w:themeColor="text1"/>
          <w:sz w:val="32"/>
          <w:szCs w:val="32"/>
          <w14:textFill>
            <w14:solidFill>
              <w14:schemeClr w14:val="tx1"/>
            </w14:solidFill>
          </w14:textFill>
        </w:rPr>
        <w:t>891.76</w:t>
      </w:r>
      <w:r>
        <w:rPr>
          <w:rFonts w:ascii="Times New Roman" w:hAnsi="TimesNewRoman" w:eastAsia="仿宋_GB2312" w:cs="Times New Roman"/>
          <w:color w:val="000000" w:themeColor="text1"/>
          <w:sz w:val="32"/>
          <w:szCs w:val="32"/>
          <w14:textFill>
            <w14:solidFill>
              <w14:schemeClr w14:val="tx1"/>
            </w14:solidFill>
          </w14:textFill>
        </w:rPr>
        <w:t>万元，主要包括</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基本工资、津贴补贴、奖金、伙食补助费、绩效工资、机关事业单位基本养老保险费、职业年金缴费、职工基本医疗保险缴费、公务员医疗补助缴费、其他社会保障缴费、工会经费、福利费、住房公积金、其他工资福利支出、退休费、生活补助、对其他个人和家庭的补助支出。</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（二）公用经费</w:t>
      </w:r>
      <w:r>
        <w:rPr>
          <w:rFonts w:ascii="Times New Roman" w:hAnsi="Times New Roman" w:eastAsia="仿宋_GB2312" w:cs="Times New Roman"/>
          <w:color w:val="000000" w:themeColor="text1"/>
          <w:sz w:val="32"/>
          <w:szCs w:val="32"/>
          <w14:textFill>
            <w14:solidFill>
              <w14:schemeClr w14:val="tx1"/>
            </w14:solidFill>
          </w14:textFill>
        </w:rPr>
        <w:t>82.48</w:t>
      </w:r>
      <w:r>
        <w:rPr>
          <w:rFonts w:ascii="Times New Roman" w:hAnsi="TimesNewRoman" w:eastAsia="仿宋_GB2312" w:cs="Times New Roman"/>
          <w:color w:val="000000" w:themeColor="text1"/>
          <w:sz w:val="32"/>
          <w:szCs w:val="32"/>
          <w14:textFill>
            <w14:solidFill>
              <w14:schemeClr w14:val="tx1"/>
            </w14:solidFill>
          </w14:textFill>
        </w:rPr>
        <w:t>万元，主要包括：</w:t>
      </w:r>
      <w:r>
        <w:rPr>
          <w:rFonts w:ascii="Times New Roman" w:hAnsi="Times New Roman" w:eastAsia="仿宋_GB2312" w:cs="Times New Roman"/>
          <w:color w:val="000000" w:themeColor="text1"/>
          <w:sz w:val="32"/>
          <w:szCs w:val="32"/>
          <w14:textFill>
            <w14:solidFill>
              <w14:schemeClr w14:val="tx1"/>
            </w14:solidFill>
          </w14:textFill>
        </w:rPr>
        <w:t>办公费、印刷费、差旅费、培训费、公务接待费、其他交通费用、其他商品服务支出等。</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七、关于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年政府性基金预算支出表的说明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年没有政府性基金预算拨款收入，也没有使用政府性基金预算拨款安排的支出。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八、关于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年国有资本经营预算支出表的说明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年没有国有资本经营预算拨款收入，也没有使用国有资本经营预算拨款安排的支出。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九、关于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年项目支出表的说明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年预算共安排项目支出</w:t>
      </w:r>
      <w:r>
        <w:rPr>
          <w:rFonts w:ascii="Times New Roman" w:hAnsi="Times New Roman" w:eastAsia="仿宋_GB2312" w:cs="Times New Roman"/>
          <w:color w:val="000000" w:themeColor="text1"/>
          <w:sz w:val="32"/>
          <w:szCs w:val="32"/>
          <w14:textFill>
            <w14:solidFill>
              <w14:schemeClr w14:val="tx1"/>
            </w14:solidFill>
          </w14:textFill>
        </w:rPr>
        <w:t>4646.5</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4026.1</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649%</w:t>
      </w:r>
      <w:r>
        <w:rPr>
          <w:rFonts w:ascii="Times New Roman" w:hAnsi="TimesNewRoman" w:eastAsia="仿宋_GB2312" w:cs="Times New Roman"/>
          <w:color w:val="000000" w:themeColor="text1"/>
          <w:sz w:val="32"/>
          <w:szCs w:val="32"/>
          <w14:textFill>
            <w14:solidFill>
              <w14:schemeClr w14:val="tx1"/>
            </w14:solidFill>
          </w14:textFill>
        </w:rPr>
        <w:t>，原因主要是科技创新若干政策奖补资金今年纳入本部门预算。主要包括：本年财政拨款安排</w:t>
      </w:r>
      <w:r>
        <w:rPr>
          <w:rFonts w:ascii="Times New Roman" w:hAnsi="Times New Roman" w:eastAsia="仿宋_GB2312" w:cs="Times New Roman"/>
          <w:color w:val="000000" w:themeColor="text1"/>
          <w:sz w:val="32"/>
          <w:szCs w:val="32"/>
          <w14:textFill>
            <w14:solidFill>
              <w14:schemeClr w14:val="tx1"/>
            </w14:solidFill>
          </w14:textFill>
        </w:rPr>
        <w:t>4646.5</w:t>
      </w:r>
      <w:r>
        <w:rPr>
          <w:rFonts w:ascii="Times New Roman" w:hAnsi="TimesNewRoman" w:eastAsia="仿宋_GB2312" w:cs="Times New Roman"/>
          <w:color w:val="000000" w:themeColor="text1"/>
          <w:sz w:val="32"/>
          <w:szCs w:val="32"/>
          <w14:textFill>
            <w14:solidFill>
              <w14:schemeClr w14:val="tx1"/>
            </w14:solidFill>
          </w14:textFill>
        </w:rPr>
        <w:t>万元（其中，一般公共预算拨款安排</w:t>
      </w:r>
      <w:r>
        <w:rPr>
          <w:rFonts w:ascii="Times New Roman" w:hAnsi="Times New Roman" w:eastAsia="仿宋_GB2312" w:cs="Times New Roman"/>
          <w:color w:val="000000" w:themeColor="text1"/>
          <w:sz w:val="32"/>
          <w:szCs w:val="32"/>
          <w14:textFill>
            <w14:solidFill>
              <w14:schemeClr w14:val="tx1"/>
            </w14:solidFill>
          </w14:textFill>
        </w:rPr>
        <w:t>4646.5</w:t>
      </w:r>
      <w:r>
        <w:rPr>
          <w:rFonts w:ascii="Times New Roman" w:hAnsi="TimesNewRoman" w:eastAsia="仿宋_GB2312" w:cs="Times New Roman"/>
          <w:color w:val="000000" w:themeColor="text1"/>
          <w:sz w:val="32"/>
          <w:szCs w:val="32"/>
          <w14:textFill>
            <w14:solidFill>
              <w14:schemeClr w14:val="tx1"/>
            </w14:solidFill>
          </w14:textFill>
        </w:rPr>
        <w:t>万元，政府性基金预算拨款安排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万元），财政专户管理资金安排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年政府采购支出表的说明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年预算安排政府采购支出</w:t>
      </w:r>
      <w:r>
        <w:rPr>
          <w:rFonts w:ascii="Times New Roman" w:hAnsi="Times New Roman" w:eastAsia="仿宋_GB2312" w:cs="Times New Roman"/>
          <w:color w:val="000000" w:themeColor="text1"/>
          <w:sz w:val="32"/>
          <w:szCs w:val="32"/>
          <w14:textFill>
            <w14:solidFill>
              <w14:schemeClr w14:val="tx1"/>
            </w14:solidFill>
          </w14:textFill>
        </w:rPr>
        <w:t>5.19</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2023</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5.19</w:t>
      </w:r>
      <w:r>
        <w:rPr>
          <w:rFonts w:ascii="Times New Roman" w:hAnsi="TimesNewRoman" w:eastAsia="仿宋_GB2312" w:cs="Times New Roman"/>
          <w:color w:val="000000" w:themeColor="text1"/>
          <w:sz w:val="32"/>
          <w:szCs w:val="32"/>
          <w14:textFill>
            <w14:solidFill>
              <w14:schemeClr w14:val="tx1"/>
            </w14:solidFill>
          </w14:textFill>
        </w:rPr>
        <w:t>万元，原因主要是上年无政府采购支出。其中，一般公共预算安排</w:t>
      </w:r>
      <w:r>
        <w:rPr>
          <w:rFonts w:ascii="Times New Roman" w:hAnsi="Times New Roman" w:eastAsia="仿宋_GB2312" w:cs="Times New Roman"/>
          <w:color w:val="000000" w:themeColor="text1"/>
          <w:sz w:val="32"/>
          <w:szCs w:val="32"/>
          <w14:textFill>
            <w14:solidFill>
              <w14:schemeClr w14:val="tx1"/>
            </w14:solidFill>
          </w14:textFill>
        </w:rPr>
        <w:t>5.19</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100%</w:t>
      </w:r>
      <w:r>
        <w:rPr>
          <w:rFonts w:ascii="Times New Roman" w:hAnsi="TimesNewRoman" w:eastAsia="仿宋_GB2312" w:cs="Times New Roman"/>
          <w:color w:val="000000" w:themeColor="text1"/>
          <w:sz w:val="32"/>
          <w:szCs w:val="32"/>
          <w14:textFill>
            <w14:solidFill>
              <w14:schemeClr w14:val="tx1"/>
            </w14:solidFill>
          </w14:textFill>
        </w:rPr>
        <w:t>；政府性基金预算安排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；财政专户管理资金安排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十一、关于</w:t>
      </w:r>
      <w:r>
        <w:rPr>
          <w:rFonts w:ascii="Times New Roman" w:hAnsi="Times New Roman" w:eastAsia="黑体" w:cs="Times New Roman"/>
          <w:bCs/>
          <w:color w:val="000000" w:themeColor="text1"/>
          <w:sz w:val="32"/>
          <w:szCs w:val="32"/>
          <w14:textFill>
            <w14:solidFill>
              <w14:schemeClr w14:val="tx1"/>
            </w14:solidFill>
          </w14:textFill>
        </w:rPr>
        <w:t>2024</w:t>
      </w:r>
      <w:r>
        <w:rPr>
          <w:rFonts w:ascii="Times New Roman" w:hAnsi="TimesNewRoman" w:eastAsia="黑体" w:cs="Times New Roman"/>
          <w:bCs/>
          <w:color w:val="000000" w:themeColor="text1"/>
          <w:sz w:val="32"/>
          <w:szCs w:val="32"/>
          <w14:textFill>
            <w14:solidFill>
              <w14:schemeClr w14:val="tx1"/>
            </w14:solidFill>
          </w14:textFill>
        </w:rPr>
        <w:t>年政府购买服务支出表的说明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NewRoman" w:eastAsia="仿宋_GB2312" w:cs="Times New Roman"/>
          <w:color w:val="000000" w:themeColor="text1"/>
          <w:sz w:val="32"/>
          <w:szCs w:val="32"/>
          <w14:textFill>
            <w14:solidFill>
              <w14:schemeClr w14:val="tx1"/>
            </w14:solidFill>
          </w14:textFill>
        </w:rPr>
        <w:t>年没有安排政府购买服务支出。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十二、其他重要事项情况说明</w:t>
      </w:r>
    </w:p>
    <w:p>
      <w:pPr>
        <w:adjustRightInd w:val="0"/>
        <w:snapToGrid w:val="0"/>
        <w:spacing w:line="580" w:lineRule="exact"/>
        <w:ind w:firstLine="640" w:firstLineChars="200"/>
        <w:jc w:val="both"/>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NewRoman" w:eastAsia="楷体_GB2312" w:cs="Times New Roman"/>
          <w:color w:val="000000" w:themeColor="text1"/>
          <w:sz w:val="32"/>
          <w:szCs w:val="32"/>
          <w14:textFill>
            <w14:solidFill>
              <w14:schemeClr w14:val="tx1"/>
            </w14:solidFill>
          </w14:textFill>
        </w:rPr>
        <w:t>（一）项目及绩效目标情况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1、科技创新扶持资金</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（1）项目概述：科技创新扶持资金是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淮北市人民政府关于印发推进创新型城市建设若干政策（暂行）的通知</w:t>
      </w:r>
      <w:r>
        <w:rPr>
          <w:rFonts w:ascii="Times New Roman" w:hAnsi="Times New Roman" w:eastAsia="仿宋_GB2312" w:cs="Times New Roman"/>
          <w:color w:val="000000" w:themeColor="text1"/>
          <w:sz w:val="32"/>
          <w:szCs w:val="32"/>
          <w14:textFill>
            <w14:solidFill>
              <w14:schemeClr w14:val="tx1"/>
            </w14:solidFill>
          </w14:textFill>
        </w:rPr>
        <w:t>》（淮政〔2017〕31号)、《淮北市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人民政府关于印发</w:t>
      </w:r>
      <w:r>
        <w:rPr>
          <w:rFonts w:ascii="Times New Roman" w:hAnsi="Times New Roman" w:eastAsia="仿宋_GB2312" w:cs="Times New Roman"/>
          <w:color w:val="000000" w:themeColor="text1"/>
          <w:sz w:val="32"/>
          <w:szCs w:val="32"/>
          <w14:textFill>
            <w14:solidFill>
              <w14:schemeClr w14:val="tx1"/>
            </w14:solidFill>
          </w14:textFill>
        </w:rPr>
        <w:t>淮北市产业扶持政策清单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的通知</w:t>
      </w:r>
      <w:r>
        <w:rPr>
          <w:rFonts w:ascii="Times New Roman" w:hAnsi="Times New Roman" w:eastAsia="仿宋_GB2312" w:cs="Times New Roman"/>
          <w:color w:val="000000" w:themeColor="text1"/>
          <w:sz w:val="32"/>
          <w:szCs w:val="32"/>
          <w14:textFill>
            <w14:solidFill>
              <w14:schemeClr w14:val="tx1"/>
            </w14:solidFill>
          </w14:textFill>
        </w:rPr>
        <w:t>》（淮政〔2023〕13号）而设立的政策兑现奖补资金项目。</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14:textFill>
            <w14:solidFill>
              <w14:schemeClr w14:val="tx1"/>
            </w14:solidFill>
          </w14:textFill>
        </w:rPr>
        <w:t>淮北市人民政府关于印发推进创新型城市建设若干政策（暂行）的通知</w:t>
      </w:r>
      <w:r>
        <w:rPr>
          <w:rFonts w:ascii="Times New Roman" w:hAnsi="Times New Roman" w:eastAsia="仿宋_GB2312" w:cs="Times New Roman"/>
          <w:color w:val="000000" w:themeColor="text1"/>
          <w:sz w:val="32"/>
          <w:szCs w:val="32"/>
          <w14:textFill>
            <w14:solidFill>
              <w14:schemeClr w14:val="tx1"/>
            </w14:solidFill>
          </w14:textFill>
        </w:rPr>
        <w:t>》（淮政〔2017〕31号)、《淮北市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人民政府关于印发</w:t>
      </w:r>
      <w:r>
        <w:rPr>
          <w:rFonts w:ascii="Times New Roman" w:hAnsi="Times New Roman" w:eastAsia="仿宋_GB2312" w:cs="Times New Roman"/>
          <w:color w:val="000000" w:themeColor="text1"/>
          <w:sz w:val="32"/>
          <w:szCs w:val="32"/>
          <w14:textFill>
            <w14:solidFill>
              <w14:schemeClr w14:val="tx1"/>
            </w14:solidFill>
          </w14:textFill>
        </w:rPr>
        <w:t>淮北市产业扶持政策清单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的通知</w:t>
      </w:r>
      <w:r>
        <w:rPr>
          <w:rFonts w:ascii="Times New Roman" w:hAnsi="Times New Roman" w:eastAsia="仿宋_GB2312" w:cs="Times New Roman"/>
          <w:color w:val="000000" w:themeColor="text1"/>
          <w:sz w:val="32"/>
          <w:szCs w:val="32"/>
          <w14:textFill>
            <w14:solidFill>
              <w14:schemeClr w14:val="tx1"/>
            </w14:solidFill>
          </w14:textFill>
        </w:rPr>
        <w:t>》（淮政〔2023〕13号）。</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2024年1月－12月。</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创新扶持资金项目为2022年市推进创新型城市建设奖补项目、2023年市产业扶持清单奖补项目。包括2020年度市重大专项末期资金、双创大赛奖励、省科技奖奖励、省重大配套资金、科技特派员补助、高新技术企业双倍增奖补、技术合同交易补助。</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（6）年度预算安排：4000万元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高新技术企业持续增加；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双创平台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孵化高新技术企业能力增强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高等科研平台、科技攻关带动我市研发投入增加、研发能力增强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科技强农、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巩固</w:t>
      </w:r>
      <w:r>
        <w:rPr>
          <w:rFonts w:ascii="Times New Roman" w:hAnsi="Times New Roman" w:eastAsia="仿宋_GB2312" w:cs="Times New Roman"/>
          <w:color w:val="000000" w:themeColor="text1"/>
          <w:sz w:val="32"/>
          <w:szCs w:val="32"/>
          <w14:textFill>
            <w14:solidFill>
              <w14:schemeClr w14:val="tx1"/>
            </w14:solidFill>
          </w14:textFill>
        </w:rPr>
        <w:t>拓展脱贫攻坚成果、推进乡村全面振兴。</w:t>
      </w:r>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项目支出绩效目标表</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（2024年度）</w:t>
      </w:r>
    </w:p>
    <w:tbl>
      <w:tblPr>
        <w:tblStyle w:val="6"/>
        <w:tblW w:w="10054" w:type="dxa"/>
        <w:tblInd w:w="92" w:type="dxa"/>
        <w:tblLayout w:type="autofit"/>
        <w:tblCellMar>
          <w:top w:w="0" w:type="dxa"/>
          <w:left w:w="108" w:type="dxa"/>
          <w:bottom w:w="0" w:type="dxa"/>
          <w:right w:w="108" w:type="dxa"/>
        </w:tblCellMar>
      </w:tblPr>
      <w:tblGrid>
        <w:gridCol w:w="9338"/>
        <w:gridCol w:w="716"/>
      </w:tblGrid>
      <w:tr>
        <w:tblPrEx>
          <w:tblCellMar>
            <w:top w:w="0" w:type="dxa"/>
            <w:left w:w="108" w:type="dxa"/>
            <w:bottom w:w="0" w:type="dxa"/>
            <w:right w:w="108" w:type="dxa"/>
          </w:tblCellMar>
        </w:tblPrEx>
        <w:trPr>
          <w:trHeight w:val="3832" w:hRule="atLeast"/>
        </w:trPr>
        <w:tc>
          <w:tcPr>
            <w:tcW w:w="9338" w:type="dxa"/>
            <w:tcBorders>
              <w:top w:val="nil"/>
              <w:left w:val="nil"/>
              <w:bottom w:val="nil"/>
              <w:right w:val="nil"/>
            </w:tcBorders>
            <w:shd w:val="clear" w:color="auto" w:fill="auto"/>
            <w:vAlign w:val="center"/>
          </w:tcPr>
          <w:tbl>
            <w:tblPr>
              <w:tblStyle w:val="6"/>
              <w:tblW w:w="90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689"/>
              <w:gridCol w:w="272"/>
              <w:gridCol w:w="633"/>
              <w:gridCol w:w="2168"/>
              <w:gridCol w:w="1843"/>
              <w:gridCol w:w="709"/>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75"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7605" w:type="dxa"/>
                  <w:gridSpan w:val="5"/>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科技创新扶持资金</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75" w:type="dxa"/>
                  <w:gridSpan w:val="3"/>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主管部门   及代码</w:t>
                  </w:r>
                </w:p>
              </w:tc>
              <w:tc>
                <w:tcPr>
                  <w:tcW w:w="280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c>
                <w:tcPr>
                  <w:tcW w:w="1843"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96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5"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280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843"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96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5" w:type="dxa"/>
                  <w:gridSpan w:val="3"/>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4804"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5"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4804"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5"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4804"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5"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4804" w:type="dxa"/>
                  <w:gridSpan w:val="3"/>
                  <w:tcBorders>
                    <w:tl2br w:val="nil"/>
                    <w:tr2bl w:val="nil"/>
                  </w:tcBorders>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14" w:type="dxa"/>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566" w:type="dxa"/>
                  <w:gridSpan w:val="7"/>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目标1：高新技术企业持续增加</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目标2：“双创平台”孵化高新技术企业能力增强</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目标3：高等科研平台、科技攻关带动我市研发投入增加、研发能力增强</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目标4：科技强农、拓展脱贫攻坚成果、推进乡村全面振兴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4"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689" w:type="dxa"/>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2252"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产出指标</w:t>
                  </w: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2023年底派出科技特派员</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250人以上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2023年底高新技术企业净增</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科技攻关项目拉动我市研发投入</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9600万元以上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促进农业农村增收、种养殖规模扩大、模式改善</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2023年底高新技术企业达到290家</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2023年底备案科技型中小企业达到440家</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效益指标</w:t>
                  </w: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4720" w:type="dxa"/>
                  <w:gridSpan w:val="3"/>
                  <w:tcBorders>
                    <w:tl2br w:val="nil"/>
                    <w:tr2bl w:val="nil"/>
                  </w:tcBorders>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拉动企业固定资产投资</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7700万元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企事业单位研发投入</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4720" w:type="dxa"/>
                  <w:gridSpan w:val="3"/>
                  <w:tcBorders>
                    <w:tl2br w:val="nil"/>
                    <w:tr2bl w:val="nil"/>
                  </w:tcBorders>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为淮北培养和引进高层次科技人才</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jc w:val="both"/>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为实现淮北高质量发展提供强力科技支撑</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人与自然的物质交换过程中，合理的人为调控，充分发挥出自然系统的自我调控能力，维护生态与经济的平衡，使生态效益与经济效益能达到统一。</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为宜居宜业宜养宜游的美好淮北幸福城提供科技创新力量</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14"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905" w:type="dxa"/>
                  <w:gridSpan w:val="2"/>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4720"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服务对象满意度</w:t>
                  </w:r>
                </w:p>
              </w:tc>
              <w:tc>
                <w:tcPr>
                  <w:tcW w:w="2252"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ind w:firstLine="480" w:firstLineChars="200"/>
              <w:rPr>
                <w:color w:val="000000" w:themeColor="text1"/>
                <w14:textFill>
                  <w14:solidFill>
                    <w14:schemeClr w14:val="tx1"/>
                  </w14:solidFill>
                </w14:textFill>
              </w:rPr>
            </w:pPr>
          </w:p>
          <w:p>
            <w:pPr>
              <w:rPr>
                <w:color w:val="000000" w:themeColor="text1"/>
                <w:sz w:val="20"/>
                <w:szCs w:val="20"/>
                <w14:textFill>
                  <w14:solidFill>
                    <w14:schemeClr w14:val="tx1"/>
                  </w14:solidFill>
                </w14:textFill>
              </w:rPr>
            </w:pPr>
          </w:p>
        </w:tc>
        <w:tc>
          <w:tcPr>
            <w:tcW w:w="716" w:type="dxa"/>
            <w:tcBorders>
              <w:top w:val="nil"/>
              <w:left w:val="nil"/>
              <w:bottom w:val="nil"/>
              <w:right w:val="nil"/>
            </w:tcBorders>
            <w:shd w:val="clear" w:color="auto" w:fill="auto"/>
            <w:vAlign w:val="center"/>
          </w:tcPr>
          <w:p>
            <w:pPr>
              <w:rPr>
                <w:color w:val="000000" w:themeColor="text1"/>
                <w:sz w:val="20"/>
                <w:szCs w:val="20"/>
                <w14:textFill>
                  <w14:solidFill>
                    <w14:schemeClr w14:val="tx1"/>
                  </w14:solidFill>
                </w14:textFill>
              </w:rPr>
            </w:pPr>
          </w:p>
        </w:tc>
      </w:tr>
    </w:tbl>
    <w:p>
      <w:pPr>
        <w:widowControl w:val="0"/>
        <w:spacing w:line="580" w:lineRule="exact"/>
        <w:ind w:firstLine="960" w:firstLineChars="3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科技活动经费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w:t>
      </w:r>
    </w:p>
    <w:p>
      <w:pPr>
        <w:spacing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活动经费是我单位开展日常业务活动工作经费，是我市为推进国家技术创新工程试点工作的重要保障，对引领城市转型、发展高新技术产业和战略性新兴产业具有重要意义；组织拟定促进产学研结合的政策和措施，指导科技成果转化工作；组织相关科技成果应用示范，推动企业自主创新能力建设；提高全市科技创新意识。</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皖政</w:t>
      </w:r>
      <w:r>
        <w:rPr>
          <w:rFonts w:ascii="Times New Roman" w:hAnsi="Times New Roman" w:eastAsia="仿宋_GB2312" w:cs="Times New Roman"/>
          <w:color w:val="000000" w:themeColor="text1"/>
          <w:sz w:val="32"/>
          <w14:textFill>
            <w14:solidFill>
              <w14:schemeClr w14:val="tx1"/>
            </w14:solidFill>
          </w14:textFill>
        </w:rPr>
        <w:t>〔2010〕</w:t>
      </w:r>
      <w:r>
        <w:rPr>
          <w:rFonts w:ascii="Times New Roman" w:hAnsi="Times New Roman" w:eastAsia="仿宋_GB2312" w:cs="Times New Roman"/>
          <w:color w:val="000000" w:themeColor="text1"/>
          <w:sz w:val="32"/>
          <w:szCs w:val="32"/>
          <w14:textFill>
            <w14:solidFill>
              <w14:schemeClr w14:val="tx1"/>
            </w14:solidFill>
          </w14:textFill>
        </w:rPr>
        <w:t>8号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中华人民共和国促进科技成果转化法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和若干规定。</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2024年1月－12月。</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贯彻执行国家科学技术工作方针政策和法律法规，起草相关规范性文件草案，研究科技发展和科技促进经济与社会发展的重大问题。制订市高新技术培育行动计划，组织高新技术企业申报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深化产学研合作，组织开展产学研对接活动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组织开展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科技活动周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送科技下乡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等活动；加强调研，制订企业自主创新政策，积极推运动自主创新服务平台建设，建立健全高新技术服务体系，推动全市科技创新体系建设。开展科技宣传、双拥、党建活动支出等。</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（6）年度预算安排：67.3万元。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（7）绩效目标。高企总数突破380家，实施市级以上科技项目30项，完成吸纳技术合同成交额50亿元，登记科技成果400项，组织开展科技活动周、送科技下乡、高科技成果展示等科技活动</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次以上。</w:t>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项目支出绩效目标表</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（2024年度）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tbl>
            <w:tblPr>
              <w:tblStyle w:val="6"/>
              <w:tblW w:w="8951" w:type="dxa"/>
              <w:jc w:val="center"/>
              <w:tblLayout w:type="fixed"/>
              <w:tblCellMar>
                <w:top w:w="0" w:type="dxa"/>
                <w:left w:w="108" w:type="dxa"/>
                <w:bottom w:w="0" w:type="dxa"/>
                <w:right w:w="108" w:type="dxa"/>
              </w:tblCellMar>
            </w:tblPr>
            <w:tblGrid>
              <w:gridCol w:w="630"/>
              <w:gridCol w:w="840"/>
              <w:gridCol w:w="430"/>
              <w:gridCol w:w="725"/>
              <w:gridCol w:w="2621"/>
              <w:gridCol w:w="1640"/>
              <w:gridCol w:w="2065"/>
            </w:tblGrid>
            <w:tr>
              <w:tblPrEx>
                <w:tblCellMar>
                  <w:top w:w="0" w:type="dxa"/>
                  <w:left w:w="108" w:type="dxa"/>
                  <w:bottom w:w="0" w:type="dxa"/>
                  <w:right w:w="108" w:type="dxa"/>
                </w:tblCellMar>
              </w:tblPrEx>
              <w:trPr>
                <w:trHeight w:val="443" w:hRule="atLeast"/>
                <w:jc w:val="center"/>
              </w:trPr>
              <w:tc>
                <w:tcPr>
                  <w:tcW w:w="19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7051"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科技活动经费</w:t>
                  </w:r>
                </w:p>
              </w:tc>
            </w:tr>
            <w:tr>
              <w:tblPrEx>
                <w:tblCellMar>
                  <w:top w:w="0" w:type="dxa"/>
                  <w:left w:w="108" w:type="dxa"/>
                  <w:bottom w:w="0" w:type="dxa"/>
                  <w:right w:w="108" w:type="dxa"/>
                </w:tblCellMar>
              </w:tblPrEx>
              <w:trPr>
                <w:trHeight w:val="443" w:hRule="atLeast"/>
                <w:jc w:val="center"/>
              </w:trPr>
              <w:tc>
                <w:tcPr>
                  <w:tcW w:w="1900"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主管部门及代码</w:t>
                  </w:r>
                </w:p>
              </w:tc>
              <w:tc>
                <w:tcPr>
                  <w:tcW w:w="3346"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64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CellMar>
                  <w:top w:w="0" w:type="dxa"/>
                  <w:left w:w="108" w:type="dxa"/>
                  <w:bottom w:w="0" w:type="dxa"/>
                  <w:right w:w="108" w:type="dxa"/>
                </w:tblCellMar>
              </w:tblPrEx>
              <w:trPr>
                <w:trHeight w:val="443" w:hRule="atLeast"/>
                <w:jc w:val="center"/>
              </w:trPr>
              <w:tc>
                <w:tcPr>
                  <w:tcW w:w="1900"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640"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CellMar>
                  <w:top w:w="0" w:type="dxa"/>
                  <w:left w:w="108" w:type="dxa"/>
                  <w:bottom w:w="0" w:type="dxa"/>
                  <w:right w:w="108" w:type="dxa"/>
                </w:tblCellMar>
              </w:tblPrEx>
              <w:trPr>
                <w:trHeight w:val="443" w:hRule="atLeast"/>
                <w:jc w:val="center"/>
              </w:trPr>
              <w:tc>
                <w:tcPr>
                  <w:tcW w:w="1900"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67.3</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67.3</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trHeight w:val="882" w:hRule="atLeast"/>
                <w:jc w:val="center"/>
              </w:trPr>
              <w:tc>
                <w:tcPr>
                  <w:tcW w:w="63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3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高企总数突破330家，高产增加值增速5％，实现技术合同交易额稳步增长，争创省科技成果转发中试基地2家，争创省级以上“双创平台”高质量发展，入库成果转化基金项目20项，争取省科技进步奖8项。组织开展科技活动周、送科技下乡、高科技成果展示等科技活动。</w:t>
                  </w:r>
                </w:p>
              </w:tc>
            </w:tr>
            <w:tr>
              <w:tblPrEx>
                <w:tblCellMar>
                  <w:top w:w="0" w:type="dxa"/>
                  <w:left w:w="108" w:type="dxa"/>
                  <w:bottom w:w="0" w:type="dxa"/>
                  <w:right w:w="108" w:type="dxa"/>
                </w:tblCellMar>
              </w:tblPrEx>
              <w:trPr>
                <w:trHeight w:val="647" w:hRule="atLeast"/>
                <w:jc w:val="center"/>
              </w:trPr>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专利申请量</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专利申请量增加</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高新技术企业总数</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380</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19"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≤673000元</w:t>
                  </w:r>
                </w:p>
              </w:tc>
            </w:tr>
            <w:tr>
              <w:tblPrEx>
                <w:tblCellMar>
                  <w:top w:w="0" w:type="dxa"/>
                  <w:left w:w="108" w:type="dxa"/>
                  <w:bottom w:w="0" w:type="dxa"/>
                  <w:right w:w="108" w:type="dxa"/>
                </w:tblCellMar>
              </w:tblPrEx>
              <w:trPr>
                <w:trHeight w:val="694"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带动企业研发投入增长率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带动企业加大研发投入，有效增强企业的创新能力</w:t>
                  </w:r>
                </w:p>
              </w:tc>
            </w:tr>
            <w:tr>
              <w:tblPrEx>
                <w:tblCellMar>
                  <w:top w:w="0" w:type="dxa"/>
                  <w:left w:w="108" w:type="dxa"/>
                  <w:bottom w:w="0" w:type="dxa"/>
                  <w:right w:w="108" w:type="dxa"/>
                </w:tblCellMar>
              </w:tblPrEx>
              <w:trPr>
                <w:trHeight w:val="712"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对带动产业链健康发展的影响程度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带动企业加大研发投入，有效增强企业的创新能力。</w:t>
                  </w:r>
                </w:p>
              </w:tc>
            </w:tr>
            <w:tr>
              <w:tblPrEx>
                <w:tblCellMar>
                  <w:top w:w="0" w:type="dxa"/>
                  <w:left w:w="108" w:type="dxa"/>
                  <w:bottom w:w="0" w:type="dxa"/>
                  <w:right w:w="108" w:type="dxa"/>
                </w:tblCellMar>
              </w:tblPrEx>
              <w:trPr>
                <w:trHeight w:val="553"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对企业的促进作用</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提高研发能力</w:t>
                  </w:r>
                </w:p>
              </w:tc>
            </w:tr>
            <w:tr>
              <w:tblPrEx>
                <w:tblCellMar>
                  <w:top w:w="0" w:type="dxa"/>
                  <w:left w:w="108" w:type="dxa"/>
                  <w:bottom w:w="0" w:type="dxa"/>
                  <w:right w:w="108" w:type="dxa"/>
                </w:tblCellMar>
              </w:tblPrEx>
              <w:trPr>
                <w:trHeight w:val="72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社会服务满意度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textAlignment w:val="center"/>
              <w:rPr>
                <w:b/>
                <w:bCs/>
                <w:color w:val="000000" w:themeColor="text1"/>
                <w:szCs w:val="32"/>
                <w14:textFill>
                  <w14:solidFill>
                    <w14:schemeClr w14:val="tx1"/>
                  </w14:solidFill>
                </w14:textFill>
              </w:rPr>
            </w:pPr>
          </w:p>
        </w:tc>
      </w:tr>
    </w:tbl>
    <w:p>
      <w:pPr>
        <w:ind w:firstLine="480" w:firstLineChars="200"/>
        <w:rPr>
          <w:color w:val="000000" w:themeColor="text1"/>
          <w14:textFill>
            <w14:solidFill>
              <w14:schemeClr w14:val="tx1"/>
            </w14:solidFill>
          </w14:textFill>
        </w:rPr>
      </w:pPr>
    </w:p>
    <w:p>
      <w:pPr>
        <w:adjustRightInd w:val="0"/>
        <w:snapToGrid w:val="0"/>
        <w:spacing w:line="60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大楼维护运行费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w:t>
      </w:r>
    </w:p>
    <w:p>
      <w:pPr>
        <w:adjustRightInd w:val="0"/>
        <w:snapToGrid w:val="0"/>
        <w:spacing w:line="600" w:lineRule="exact"/>
        <w:ind w:firstLine="480" w:firstLineChars="15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（1）项目概述。为保证办公大楼的正常运行发生的支出。主要用于租赁、供水、供电、安全保卫、保洁、卫生、亮化及日常维修维护管理运行等支出。</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（2）立项依据</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保证办公大楼正常运行</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（3）实施主体</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淮北市科技局</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spacing w:line="600" w:lineRule="exact"/>
        <w:ind w:firstLine="585" w:firstLineChars="183"/>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（4）起止时间</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2024年1月</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12月</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（5）项目内容</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为保证办公大楼的正常运行发生的支出。主要用于租赁、供水、供电、安全保卫、保洁、卫生、亮化及日常维修维护管理运行等支出。</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60.9万元</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rPr>
          <w:rFonts w:ascii="仿宋_GB2312" w:hAnsi="楷体" w:eastAsia="仿宋_GB2312" w:cs="Times New Roman"/>
          <w:color w:val="000000" w:themeColor="text1"/>
          <w:sz w:val="32"/>
          <w:szCs w:val="32"/>
          <w14:textFill>
            <w14:solidFill>
              <w14:schemeClr w14:val="tx1"/>
            </w14:solidFill>
          </w14:textFill>
        </w:rPr>
      </w:pPr>
      <w:r>
        <w:rPr>
          <w:rFonts w:hint="eastAsia" w:ascii="仿宋_GB2312" w:hAnsi="楷体" w:eastAsia="仿宋_GB2312" w:cs="Times New Roman"/>
          <w:color w:val="000000" w:themeColor="text1"/>
          <w:sz w:val="32"/>
          <w:szCs w:val="32"/>
          <w14:textFill>
            <w14:solidFill>
              <w14:schemeClr w14:val="tx1"/>
            </w14:solidFill>
          </w14:textFill>
        </w:rPr>
        <w:t>（7）绩效目标</w:t>
      </w:r>
      <w:r>
        <w:rPr>
          <w:rFonts w:hint="eastAsia" w:ascii="仿宋_GB2312" w:hAnsi="楷体" w:eastAsia="仿宋_GB2312" w:cs="Times New Roman"/>
          <w:color w:val="000000" w:themeColor="text1"/>
          <w:sz w:val="32"/>
          <w:szCs w:val="32"/>
          <w:lang w:eastAsia="zh-CN"/>
          <w14:textFill>
            <w14:solidFill>
              <w14:schemeClr w14:val="tx1"/>
            </w14:solidFill>
          </w14:textFill>
        </w:rPr>
        <w:t>：</w:t>
      </w:r>
      <w:r>
        <w:rPr>
          <w:rFonts w:hint="eastAsia" w:ascii="仿宋_GB2312" w:hAnsi="楷体" w:eastAsia="仿宋_GB2312" w:cs="Times New Roman"/>
          <w:color w:val="000000" w:themeColor="text1"/>
          <w:sz w:val="32"/>
          <w:szCs w:val="32"/>
          <w14:textFill>
            <w14:solidFill>
              <w14:schemeClr w14:val="tx1"/>
            </w14:solidFill>
          </w14:textFill>
        </w:rPr>
        <w:t>保证大楼的正常运行。</w:t>
      </w:r>
    </w:p>
    <w:p>
      <w:pPr>
        <w:adjustRightInd w:val="0"/>
        <w:snapToGrid w:val="0"/>
        <w:spacing w:line="600" w:lineRule="exact"/>
        <w:jc w:val="center"/>
        <w:rPr>
          <w:rFonts w:ascii="Calibri" w:hAnsi="Calibri" w:cs="Times New Roman"/>
          <w:b/>
          <w:bCs/>
          <w:color w:val="000000" w:themeColor="text1"/>
          <w:sz w:val="32"/>
          <w:szCs w:val="32"/>
          <w14:textFill>
            <w14:solidFill>
              <w14:schemeClr w14:val="tx1"/>
            </w14:solidFill>
          </w14:textFill>
        </w:rPr>
      </w:pPr>
    </w:p>
    <w:p>
      <w:pPr>
        <w:rPr>
          <w:rFonts w:ascii="Calibri" w:hAnsi="Calibri" w:cs="Times New Roman"/>
          <w:b/>
          <w:bCs/>
          <w:color w:val="000000" w:themeColor="text1"/>
          <w:sz w:val="32"/>
          <w:szCs w:val="32"/>
          <w14:textFill>
            <w14:solidFill>
              <w14:schemeClr w14:val="tx1"/>
            </w14:solidFill>
          </w14:textFill>
        </w:rPr>
      </w:pPr>
      <w:r>
        <w:rPr>
          <w:rFonts w:ascii="Calibri" w:hAnsi="Calibri" w:cs="Times New Roman"/>
          <w:b/>
          <w:bCs/>
          <w:color w:val="000000" w:themeColor="text1"/>
          <w:sz w:val="32"/>
          <w:szCs w:val="32"/>
          <w14:textFill>
            <w14:solidFill>
              <w14:schemeClr w14:val="tx1"/>
            </w14:solidFill>
          </w14:textFill>
        </w:rPr>
        <w:br w:type="page"/>
      </w:r>
    </w:p>
    <w:p>
      <w:pPr>
        <w:adjustRightInd w:val="0"/>
        <w:snapToGrid w:val="0"/>
        <w:spacing w:line="600" w:lineRule="exact"/>
        <w:jc w:val="center"/>
        <w:rPr>
          <w:rFonts w:ascii="Calibri" w:hAnsi="Calibri" w:cs="Times New Roman"/>
          <w:b/>
          <w:bCs/>
          <w:color w:val="000000" w:themeColor="text1"/>
          <w:sz w:val="32"/>
          <w:szCs w:val="32"/>
          <w14:textFill>
            <w14:solidFill>
              <w14:schemeClr w14:val="tx1"/>
            </w14:solidFill>
          </w14:textFill>
        </w:rPr>
      </w:pPr>
      <w:r>
        <w:rPr>
          <w:rFonts w:hint="eastAsia" w:ascii="Calibri" w:hAnsi="Calibri" w:cs="Times New Roman"/>
          <w:b/>
          <w:bCs/>
          <w:color w:val="000000" w:themeColor="text1"/>
          <w:sz w:val="32"/>
          <w:szCs w:val="32"/>
          <w14:textFill>
            <w14:solidFill>
              <w14:schemeClr w14:val="tx1"/>
            </w14:solidFill>
          </w14:textFill>
        </w:rPr>
        <w:t>项目支出绩效目标表</w:t>
      </w:r>
    </w:p>
    <w:p>
      <w:pPr>
        <w:jc w:val="center"/>
        <w:rPr>
          <w:rFonts w:ascii="Calibri" w:hAnsi="Calibri" w:cs="Times New Roman"/>
          <w:color w:val="000000" w:themeColor="text1"/>
          <w:sz w:val="20"/>
          <w:szCs w:val="20"/>
          <w14:textFill>
            <w14:solidFill>
              <w14:schemeClr w14:val="tx1"/>
            </w14:solidFill>
          </w14:textFill>
        </w:rPr>
      </w:pPr>
      <w:r>
        <w:rPr>
          <w:rFonts w:hint="eastAsia" w:ascii="Calibri" w:hAnsi="Calibri" w:cs="Times New Roman"/>
          <w:color w:val="000000" w:themeColor="text1"/>
          <w:sz w:val="20"/>
          <w:szCs w:val="20"/>
          <w14:textFill>
            <w14:solidFill>
              <w14:schemeClr w14:val="tx1"/>
            </w14:solidFill>
          </w14:textFill>
        </w:rPr>
        <w:t>（2024 年度）</w:t>
      </w:r>
    </w:p>
    <w:tbl>
      <w:tblPr>
        <w:tblStyle w:val="6"/>
        <w:tblW w:w="9020" w:type="dxa"/>
        <w:tblInd w:w="93"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270" w:hRule="atLeast"/>
        </w:trPr>
        <w:tc>
          <w:tcPr>
            <w:tcW w:w="9020" w:type="dxa"/>
            <w:tcBorders>
              <w:top w:val="nil"/>
              <w:left w:val="nil"/>
              <w:bottom w:val="nil"/>
              <w:right w:val="nil"/>
            </w:tcBorders>
            <w:shd w:val="clear" w:color="auto" w:fill="auto"/>
            <w:vAlign w:val="center"/>
          </w:tcPr>
          <w:tbl>
            <w:tblPr>
              <w:tblStyle w:val="6"/>
              <w:tblW w:w="9617" w:type="dxa"/>
              <w:tblInd w:w="-135" w:type="dxa"/>
              <w:tblLayout w:type="fixed"/>
              <w:tblCellMar>
                <w:top w:w="0" w:type="dxa"/>
                <w:left w:w="108" w:type="dxa"/>
                <w:bottom w:w="0" w:type="dxa"/>
                <w:right w:w="108" w:type="dxa"/>
              </w:tblCellMar>
            </w:tblPr>
            <w:tblGrid>
              <w:gridCol w:w="888"/>
              <w:gridCol w:w="850"/>
              <w:gridCol w:w="430"/>
              <w:gridCol w:w="725"/>
              <w:gridCol w:w="2475"/>
              <w:gridCol w:w="1190"/>
              <w:gridCol w:w="2464"/>
              <w:gridCol w:w="595"/>
            </w:tblGrid>
            <w:tr>
              <w:tblPrEx>
                <w:tblCellMar>
                  <w:top w:w="0" w:type="dxa"/>
                  <w:left w:w="108" w:type="dxa"/>
                  <w:bottom w:w="0" w:type="dxa"/>
                  <w:right w:w="108" w:type="dxa"/>
                </w:tblCellMar>
              </w:tblPrEx>
              <w:trPr>
                <w:gridAfter w:val="1"/>
                <w:wAfter w:w="595" w:type="dxa"/>
                <w:trHeight w:val="443" w:hRule="atLeast"/>
              </w:trPr>
              <w:tc>
                <w:tcPr>
                  <w:tcW w:w="2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685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大楼维护运行费</w:t>
                  </w:r>
                </w:p>
              </w:tc>
            </w:tr>
            <w:tr>
              <w:tblPrEx>
                <w:tblCellMar>
                  <w:top w:w="0" w:type="dxa"/>
                  <w:left w:w="108" w:type="dxa"/>
                  <w:bottom w:w="0" w:type="dxa"/>
                  <w:right w:w="108" w:type="dxa"/>
                </w:tblCellMar>
              </w:tblPrEx>
              <w:trPr>
                <w:gridAfter w:val="1"/>
                <w:wAfter w:w="595" w:type="dxa"/>
                <w:trHeight w:val="443" w:hRule="atLeast"/>
              </w:trPr>
              <w:tc>
                <w:tcPr>
                  <w:tcW w:w="2168"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主管部门及代码</w:t>
                  </w:r>
                </w:p>
              </w:tc>
              <w:tc>
                <w:tcPr>
                  <w:tcW w:w="3200"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19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46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CellMar>
                  <w:top w:w="0" w:type="dxa"/>
                  <w:left w:w="108" w:type="dxa"/>
                  <w:bottom w:w="0" w:type="dxa"/>
                  <w:right w:w="108" w:type="dxa"/>
                </w:tblCellMar>
              </w:tblPrEx>
              <w:trPr>
                <w:gridAfter w:val="1"/>
                <w:wAfter w:w="595" w:type="dxa"/>
                <w:trHeight w:val="443" w:hRule="atLeast"/>
              </w:trPr>
              <w:tc>
                <w:tcPr>
                  <w:tcW w:w="2168"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190"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CellMar>
                  <w:top w:w="0" w:type="dxa"/>
                  <w:left w:w="108" w:type="dxa"/>
                  <w:bottom w:w="0" w:type="dxa"/>
                  <w:right w:w="108" w:type="dxa"/>
                </w:tblCellMar>
              </w:tblPrEx>
              <w:trPr>
                <w:gridAfter w:val="1"/>
                <w:wAfter w:w="595" w:type="dxa"/>
                <w:trHeight w:val="443" w:hRule="atLeast"/>
              </w:trPr>
              <w:tc>
                <w:tcPr>
                  <w:tcW w:w="2168"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60.9</w:t>
                  </w:r>
                </w:p>
              </w:tc>
            </w:tr>
            <w:tr>
              <w:tblPrEx>
                <w:tblCellMar>
                  <w:top w:w="0" w:type="dxa"/>
                  <w:left w:w="108" w:type="dxa"/>
                  <w:bottom w:w="0" w:type="dxa"/>
                  <w:right w:w="108" w:type="dxa"/>
                </w:tblCellMar>
              </w:tblPrEx>
              <w:trPr>
                <w:gridAfter w:val="1"/>
                <w:wAfter w:w="595" w:type="dxa"/>
                <w:trHeight w:val="443" w:hRule="atLeast"/>
              </w:trPr>
              <w:tc>
                <w:tcPr>
                  <w:tcW w:w="2168"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60.9</w:t>
                  </w:r>
                </w:p>
              </w:tc>
            </w:tr>
            <w:tr>
              <w:tblPrEx>
                <w:tblCellMar>
                  <w:top w:w="0" w:type="dxa"/>
                  <w:left w:w="108" w:type="dxa"/>
                  <w:bottom w:w="0" w:type="dxa"/>
                  <w:right w:w="108" w:type="dxa"/>
                </w:tblCellMar>
              </w:tblPrEx>
              <w:trPr>
                <w:gridAfter w:val="1"/>
                <w:wAfter w:w="595" w:type="dxa"/>
                <w:trHeight w:val="443" w:hRule="atLeast"/>
              </w:trPr>
              <w:tc>
                <w:tcPr>
                  <w:tcW w:w="2168"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gridAfter w:val="1"/>
                <w:wAfter w:w="595" w:type="dxa"/>
                <w:trHeight w:val="443" w:hRule="atLeast"/>
              </w:trPr>
              <w:tc>
                <w:tcPr>
                  <w:tcW w:w="2168"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gridAfter w:val="1"/>
                <w:wAfter w:w="595" w:type="dxa"/>
                <w:trHeight w:val="882" w:hRule="atLeast"/>
              </w:trPr>
              <w:tc>
                <w:tcPr>
                  <w:tcW w:w="888"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1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保证大楼的正常运行。</w:t>
                  </w:r>
                </w:p>
              </w:tc>
            </w:tr>
            <w:tr>
              <w:tblPrEx>
                <w:tblCellMar>
                  <w:top w:w="0" w:type="dxa"/>
                  <w:left w:w="108" w:type="dxa"/>
                  <w:bottom w:w="0" w:type="dxa"/>
                  <w:right w:w="108" w:type="dxa"/>
                </w:tblCellMar>
              </w:tblPrEx>
              <w:trPr>
                <w:gridAfter w:val="1"/>
                <w:wAfter w:w="595" w:type="dxa"/>
                <w:trHeight w:val="647" w:hRule="atLeast"/>
              </w:trPr>
              <w:tc>
                <w:tcPr>
                  <w:tcW w:w="88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85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CellMar>
                  <w:top w:w="0" w:type="dxa"/>
                  <w:left w:w="108" w:type="dxa"/>
                  <w:bottom w:w="0" w:type="dxa"/>
                  <w:right w:w="108" w:type="dxa"/>
                </w:tblCellMar>
              </w:tblPrEx>
              <w:trPr>
                <w:gridAfter w:val="1"/>
                <w:wAfter w:w="595" w:type="dxa"/>
                <w:trHeight w:val="48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物业服务面积</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≥200平方米</w:t>
                  </w:r>
                </w:p>
              </w:tc>
            </w:tr>
            <w:tr>
              <w:tblPrEx>
                <w:tblCellMar>
                  <w:top w:w="0" w:type="dxa"/>
                  <w:left w:w="108" w:type="dxa"/>
                  <w:bottom w:w="0" w:type="dxa"/>
                  <w:right w:w="108" w:type="dxa"/>
                </w:tblCellMar>
              </w:tblPrEx>
              <w:trPr>
                <w:gridAfter w:val="1"/>
                <w:wAfter w:w="595" w:type="dxa"/>
                <w:trHeight w:val="48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restart"/>
                  <w:tcBorders>
                    <w:top w:val="single" w:color="auto" w:sz="4" w:space="0"/>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8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475" w:type="dxa"/>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公共设施设备维护保养完好率</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≥90%</w:t>
                  </w:r>
                </w:p>
              </w:tc>
              <w:tc>
                <w:tcPr>
                  <w:tcW w:w="595" w:type="dxa"/>
                  <w:vAlign w:val="center"/>
                </w:tcPr>
                <w:p>
                  <w:pPr>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gridAfter w:val="1"/>
                <w:wAfter w:w="595" w:type="dxa"/>
                <w:trHeight w:val="48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及时性</w:t>
                  </w:r>
                </w:p>
              </w:tc>
            </w:tr>
            <w:tr>
              <w:tblPrEx>
                <w:tblCellMar>
                  <w:top w:w="0" w:type="dxa"/>
                  <w:left w:w="108" w:type="dxa"/>
                  <w:bottom w:w="0" w:type="dxa"/>
                  <w:right w:w="108" w:type="dxa"/>
                </w:tblCellMar>
              </w:tblPrEx>
              <w:trPr>
                <w:gridAfter w:val="1"/>
                <w:wAfter w:w="595" w:type="dxa"/>
                <w:trHeight w:val="419"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≤609000元</w:t>
                  </w:r>
                </w:p>
              </w:tc>
            </w:tr>
            <w:tr>
              <w:tblPrEx>
                <w:tblCellMar>
                  <w:top w:w="0" w:type="dxa"/>
                  <w:left w:w="108" w:type="dxa"/>
                  <w:bottom w:w="0" w:type="dxa"/>
                  <w:right w:w="108" w:type="dxa"/>
                </w:tblCellMar>
              </w:tblPrEx>
              <w:trPr>
                <w:gridAfter w:val="1"/>
                <w:wAfter w:w="595" w:type="dxa"/>
                <w:trHeight w:val="694"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带动经济发展指标</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保障工作正常运转</w:t>
                  </w:r>
                </w:p>
              </w:tc>
            </w:tr>
            <w:tr>
              <w:tblPrEx>
                <w:tblCellMar>
                  <w:top w:w="0" w:type="dxa"/>
                  <w:left w:w="108" w:type="dxa"/>
                  <w:bottom w:w="0" w:type="dxa"/>
                  <w:right w:w="108" w:type="dxa"/>
                </w:tblCellMar>
              </w:tblPrEx>
              <w:trPr>
                <w:gridAfter w:val="1"/>
                <w:wAfter w:w="595" w:type="dxa"/>
                <w:trHeight w:val="712"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对办公环境的改善或提升程度</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提高办公舒适度</w:t>
                  </w:r>
                </w:p>
              </w:tc>
            </w:tr>
            <w:tr>
              <w:tblPrEx>
                <w:tblCellMar>
                  <w:top w:w="0" w:type="dxa"/>
                  <w:left w:w="108" w:type="dxa"/>
                  <w:bottom w:w="0" w:type="dxa"/>
                  <w:right w:w="108" w:type="dxa"/>
                </w:tblCellMar>
              </w:tblPrEx>
              <w:trPr>
                <w:gridAfter w:val="1"/>
                <w:wAfter w:w="595" w:type="dxa"/>
                <w:trHeight w:val="553"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CellMar>
                  <w:top w:w="0" w:type="dxa"/>
                  <w:left w:w="108" w:type="dxa"/>
                  <w:bottom w:w="0" w:type="dxa"/>
                  <w:right w:w="108" w:type="dxa"/>
                </w:tblCellMar>
              </w:tblPrEx>
              <w:trPr>
                <w:gridAfter w:val="1"/>
                <w:wAfter w:w="595" w:type="dxa"/>
                <w:trHeight w:val="48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对保障机关正常运转的持续影响程度</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保证大楼的日常运行</w:t>
                  </w:r>
                </w:p>
              </w:tc>
            </w:tr>
            <w:tr>
              <w:tblPrEx>
                <w:tblCellMar>
                  <w:top w:w="0" w:type="dxa"/>
                  <w:left w:w="108" w:type="dxa"/>
                  <w:bottom w:w="0" w:type="dxa"/>
                  <w:right w:w="108" w:type="dxa"/>
                </w:tblCellMar>
              </w:tblPrEx>
              <w:trPr>
                <w:gridAfter w:val="1"/>
                <w:wAfter w:w="595" w:type="dxa"/>
                <w:trHeight w:val="720" w:hRule="atLeast"/>
              </w:trPr>
              <w:tc>
                <w:tcPr>
                  <w:tcW w:w="88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服务对象满意度</w:t>
                  </w:r>
                </w:p>
              </w:tc>
              <w:tc>
                <w:tcPr>
                  <w:tcW w:w="36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rPr>
                <w:rFonts w:ascii="Calibri" w:hAnsi="Calibri" w:cs="Times New Roman"/>
                <w:color w:val="000000" w:themeColor="text1"/>
                <w:sz w:val="20"/>
                <w:szCs w:val="20"/>
                <w14:textFill>
                  <w14:solidFill>
                    <w14:schemeClr w14:val="tx1"/>
                  </w14:solidFill>
                </w14:textFill>
              </w:rPr>
            </w:pPr>
          </w:p>
          <w:p>
            <w:pPr>
              <w:jc w:val="center"/>
              <w:rPr>
                <w:color w:val="000000" w:themeColor="text1"/>
                <w:sz w:val="20"/>
                <w:szCs w:val="20"/>
                <w14:textFill>
                  <w14:solidFill>
                    <w14:schemeClr w14:val="tx1"/>
                  </w14:solidFill>
                </w14:textFill>
              </w:rPr>
            </w:pPr>
          </w:p>
        </w:tc>
      </w:tr>
    </w:tbl>
    <w:p>
      <w:pPr>
        <w:widowControl w:val="0"/>
        <w:adjustRightInd w:val="0"/>
        <w:snapToGrid w:val="0"/>
        <w:spacing w:line="58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科技项目评审论证工作经费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w:t>
      </w:r>
    </w:p>
    <w:p>
      <w:pPr>
        <w:widowControl w:val="0"/>
        <w:adjustRightInd w:val="0"/>
        <w:snapToGrid w:val="0"/>
        <w:spacing w:line="58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为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：《淮北市人民政府关于印发推进创新型城市建设若干政策（暂行）的通知</w:t>
      </w:r>
      <w:r>
        <w:rPr>
          <w:rFonts w:ascii="Times New Roman" w:hAnsi="Times New Roman" w:eastAsia="仿宋_GB2312" w:cs="Times New Roman"/>
          <w:color w:val="000000" w:themeColor="text1"/>
          <w:sz w:val="32"/>
          <w:szCs w:val="32"/>
          <w14:textFill>
            <w14:solidFill>
              <w14:schemeClr w14:val="tx1"/>
            </w14:solidFill>
          </w14:textFill>
        </w:rPr>
        <w:t>》（淮政〔2017〕31号），《淮北市科技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计划</w:t>
      </w:r>
      <w:r>
        <w:rPr>
          <w:rFonts w:ascii="Times New Roman" w:hAnsi="Times New Roman" w:eastAsia="仿宋_GB2312" w:cs="Times New Roman"/>
          <w:color w:val="000000" w:themeColor="text1"/>
          <w:sz w:val="32"/>
          <w:szCs w:val="32"/>
          <w14:textFill>
            <w14:solidFill>
              <w14:schemeClr w14:val="tx1"/>
            </w14:solidFill>
          </w14:textFill>
        </w:rPr>
        <w:t>项目管理办法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试行）</w:t>
      </w:r>
      <w:r>
        <w:rPr>
          <w:rFonts w:ascii="Times New Roman" w:hAnsi="Times New Roman" w:eastAsia="仿宋_GB2312" w:cs="Times New Roman"/>
          <w:color w:val="000000" w:themeColor="text1"/>
          <w:sz w:val="32"/>
          <w:szCs w:val="32"/>
          <w14:textFill>
            <w14:solidFill>
              <w14:schemeClr w14:val="tx1"/>
            </w14:solidFill>
          </w14:textFill>
        </w:rPr>
        <w:t>》（淮科〔202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关于印发&lt;</w:t>
      </w:r>
      <w:r>
        <w:rPr>
          <w:rFonts w:ascii="Times New Roman" w:hAnsi="Times New Roman" w:eastAsia="仿宋_GB2312" w:cs="Times New Roman"/>
          <w:color w:val="000000" w:themeColor="text1"/>
          <w:sz w:val="32"/>
          <w:szCs w:val="32"/>
          <w14:textFill>
            <w14:solidFill>
              <w14:schemeClr w14:val="tx1"/>
            </w14:solidFill>
          </w14:textFill>
        </w:rPr>
        <w:t>淮北市工程技术研究中心管理办法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&gt;和&lt;</w:t>
      </w:r>
      <w:r>
        <w:rPr>
          <w:rFonts w:ascii="Times New Roman" w:hAnsi="Times New Roman" w:eastAsia="仿宋_GB2312" w:cs="Times New Roman"/>
          <w:color w:val="000000" w:themeColor="text1"/>
          <w:sz w:val="32"/>
          <w:szCs w:val="32"/>
          <w14:textFill>
            <w14:solidFill>
              <w14:schemeClr w14:val="tx1"/>
            </w14:solidFill>
          </w14:textFill>
        </w:rPr>
        <w:t>淮北市工程技术研究中心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绩效评价办法&gt;的通知》</w:t>
      </w:r>
      <w:r>
        <w:rPr>
          <w:rFonts w:ascii="Times New Roman" w:hAnsi="Times New Roman" w:eastAsia="仿宋_GB2312" w:cs="Times New Roman"/>
          <w:color w:val="000000" w:themeColor="text1"/>
          <w:sz w:val="32"/>
          <w:szCs w:val="32"/>
          <w14:textFill>
            <w14:solidFill>
              <w14:schemeClr w14:val="tx1"/>
            </w14:solidFill>
          </w14:textFill>
        </w:rPr>
        <w:t>（淮科〔20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ascii="Times New Roman" w:hAnsi="Times New Roman" w:eastAsia="仿宋_GB2312" w:cs="Times New Roman"/>
          <w:color w:val="000000" w:themeColor="text1"/>
          <w:sz w:val="32"/>
          <w:szCs w:val="32"/>
          <w14:textFill>
            <w14:solidFill>
              <w14:schemeClr w14:val="tx1"/>
            </w14:solidFill>
          </w14:textFill>
        </w:rPr>
        <w:t>号）。</w:t>
      </w:r>
    </w:p>
    <w:p>
      <w:pPr>
        <w:spacing w:line="580" w:lineRule="exact"/>
        <w:ind w:firstLine="585" w:firstLineChars="183"/>
        <w:jc w:val="both"/>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2024年1月－12月</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用于市科技重大专项评审、市科技重大专项中期绩效评估评审，申报省项目专题培训，科技企业孵化器，众创空间绩效考核评审，科技企业孵化器、众创空间认定备案，市级工程技术研究中心评审认定，省工程技术研究中心评审推荐，院士工作站项目预审、科技人才项目备案及绩效评价，中期绩效评估等项目论证支出。</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29万元。</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pPr>
        <w:adjustRightInd w:val="0"/>
        <w:snapToGrid w:val="0"/>
        <w:spacing w:line="600" w:lineRule="exact"/>
        <w:jc w:val="center"/>
        <w:rPr>
          <w:rFonts w:ascii="仿宋_GB2312" w:hAnsi="楷体" w:eastAsia="仿宋_GB2312" w:cs="Times New Roman"/>
          <w:color w:val="000000" w:themeColor="text1"/>
          <w:sz w:val="32"/>
          <w:szCs w:val="32"/>
          <w14:textFill>
            <w14:solidFill>
              <w14:schemeClr w14:val="tx1"/>
            </w14:solidFill>
          </w14:textFill>
        </w:rPr>
      </w:pPr>
      <w:r>
        <w:rPr>
          <w:rFonts w:hint="eastAsia" w:ascii="Calibri" w:hAnsi="Calibri" w:cs="Times New Roman"/>
          <w:b/>
          <w:bCs/>
          <w:color w:val="000000" w:themeColor="text1"/>
          <w:sz w:val="32"/>
          <w:szCs w:val="32"/>
          <w14:textFill>
            <w14:solidFill>
              <w14:schemeClr w14:val="tx1"/>
            </w14:solidFill>
          </w14:textFill>
        </w:rPr>
        <w:t>项目支出绩效目标表</w:t>
      </w:r>
    </w:p>
    <w:p>
      <w:pPr>
        <w:jc w:val="center"/>
        <w:rPr>
          <w:rFonts w:ascii="Calibri" w:hAnsi="Calibri" w:cs="Times New Roman"/>
          <w:color w:val="000000" w:themeColor="text1"/>
          <w:sz w:val="20"/>
          <w:szCs w:val="20"/>
          <w14:textFill>
            <w14:solidFill>
              <w14:schemeClr w14:val="tx1"/>
            </w14:solidFill>
          </w14:textFill>
        </w:rPr>
      </w:pPr>
      <w:r>
        <w:rPr>
          <w:rFonts w:hint="eastAsia" w:ascii="Calibri" w:hAnsi="Calibri" w:cs="Times New Roman"/>
          <w:color w:val="000000" w:themeColor="text1"/>
          <w:sz w:val="20"/>
          <w:szCs w:val="20"/>
          <w14:textFill>
            <w14:solidFill>
              <w14:schemeClr w14:val="tx1"/>
            </w14:solidFill>
          </w14:textFill>
        </w:rPr>
        <w:t>（2024 年度）</w:t>
      </w:r>
    </w:p>
    <w:tbl>
      <w:tblPr>
        <w:tblStyle w:val="6"/>
        <w:tblW w:w="9020" w:type="dxa"/>
        <w:tblInd w:w="93"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360" w:hRule="atLeast"/>
        </w:trPr>
        <w:tc>
          <w:tcPr>
            <w:tcW w:w="9020" w:type="dxa"/>
            <w:tcBorders>
              <w:top w:val="nil"/>
              <w:left w:val="nil"/>
              <w:bottom w:val="nil"/>
              <w:right w:val="nil"/>
            </w:tcBorders>
            <w:shd w:val="clear" w:color="auto" w:fill="auto"/>
            <w:vAlign w:val="center"/>
          </w:tcPr>
          <w:tbl>
            <w:tblPr>
              <w:tblStyle w:val="6"/>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73"/>
              <w:gridCol w:w="430"/>
              <w:gridCol w:w="725"/>
              <w:gridCol w:w="2475"/>
              <w:gridCol w:w="614"/>
              <w:gridCol w:w="102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6658" w:type="dxa"/>
                  <w:gridSpan w:val="5"/>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科技项目评审论证工作经费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主管部门及代码</w:t>
                  </w:r>
                </w:p>
              </w:tc>
              <w:tc>
                <w:tcPr>
                  <w:tcW w:w="320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64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1818"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20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64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1818"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458"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458"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458"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458"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30"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061" w:type="dxa"/>
                  <w:gridSpan w:val="7"/>
                  <w:shd w:val="clear" w:color="auto" w:fill="auto"/>
                  <w:vAlign w:val="center"/>
                </w:tcPr>
                <w:p>
                  <w:pPr>
                    <w:ind w:firstLine="420" w:firstLineChars="200"/>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30"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973"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2844"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3089"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完成评审评价评估项目数量</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3089"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重点评审评价评估项目数量</w:t>
                  </w:r>
                </w:p>
              </w:tc>
              <w:tc>
                <w:tcPr>
                  <w:tcW w:w="2844" w:type="dxa"/>
                  <w:gridSpan w:val="2"/>
                  <w:shd w:val="clear" w:color="auto" w:fill="auto"/>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评审评价评估报告质量合格率</w:t>
                  </w:r>
                </w:p>
              </w:tc>
              <w:tc>
                <w:tcPr>
                  <w:tcW w:w="2844" w:type="dxa"/>
                  <w:gridSpan w:val="2"/>
                  <w:shd w:val="clear" w:color="auto" w:fill="auto"/>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带动研发投入</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带动企业加大研发投入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3089" w:type="dxa"/>
                  <w:gridSpan w:val="2"/>
                  <w:shd w:val="clear" w:color="auto" w:fill="auto"/>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对提高行政运行效率及结果的影响程度</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提升高企认定通过率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3089" w:type="dxa"/>
                  <w:gridSpan w:val="2"/>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健全的评审评价评估管理制度为评审工作提供可持续保障</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服务对象满意度</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rPr>
                <w:b/>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020" w:type="dxa"/>
            <w:tcBorders>
              <w:top w:val="nil"/>
              <w:left w:val="nil"/>
              <w:bottom w:val="nil"/>
              <w:right w:val="nil"/>
            </w:tcBorders>
            <w:shd w:val="clear" w:color="auto" w:fill="auto"/>
            <w:vAlign w:val="center"/>
          </w:tcPr>
          <w:p>
            <w:pPr>
              <w:rPr>
                <w:color w:val="000000" w:themeColor="text1"/>
                <w:sz w:val="20"/>
                <w:szCs w:val="20"/>
                <w14:textFill>
                  <w14:solidFill>
                    <w14:schemeClr w14:val="tx1"/>
                  </w14:solidFill>
                </w14:textFill>
              </w:rPr>
            </w:pPr>
          </w:p>
        </w:tc>
      </w:tr>
    </w:tbl>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专利中心运行经费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保障单位日常开展专利技术咨询、代理及专利技术培训、研讨等活动。</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淮编〔2007〕56号文。</w:t>
      </w:r>
    </w:p>
    <w:p>
      <w:pPr>
        <w:spacing w:line="580" w:lineRule="exact"/>
        <w:ind w:firstLine="640" w:firstLineChars="200"/>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淮北市专利技术展示</w:t>
      </w:r>
      <w:r>
        <w:rPr>
          <w:rFonts w:hint="eastAsia" w:ascii="Times New Roman" w:hAnsi="Times New Roman" w:eastAsia="仿宋_GB2312" w:cs="Times New Roman"/>
          <w:color w:val="000000" w:themeColor="text1"/>
          <w:sz w:val="32"/>
          <w:szCs w:val="32"/>
          <w14:textFill>
            <w14:solidFill>
              <w14:schemeClr w14:val="tx1"/>
            </w14:solidFill>
          </w14:textFill>
        </w:rPr>
        <w:t>交易</w:t>
      </w:r>
      <w:r>
        <w:rPr>
          <w:rFonts w:ascii="Times New Roman" w:hAnsi="Times New Roman" w:eastAsia="仿宋_GB2312" w:cs="Times New Roman"/>
          <w:color w:val="000000" w:themeColor="text1"/>
          <w:sz w:val="32"/>
          <w:szCs w:val="32"/>
          <w14:textFill>
            <w14:solidFill>
              <w14:schemeClr w14:val="tx1"/>
            </w14:solidFill>
          </w14:textFill>
        </w:rPr>
        <w:t>中心</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2024年1月－12月</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保障单位日常开展专利技术咨询、代理及专利技术培训、研讨等活动。费用用于人员经费。</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64.30万元。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保障单位日常运行。</w:t>
      </w:r>
    </w:p>
    <w:p>
      <w:pPr>
        <w:ind w:firstLine="643" w:firstLineChars="20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项目支出绩效目标表</w:t>
      </w:r>
    </w:p>
    <w:p>
      <w:pPr>
        <w:ind w:firstLine="400" w:firstLineChars="200"/>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（2024年度）</w:t>
      </w:r>
    </w:p>
    <w:tbl>
      <w:tblPr>
        <w:tblStyle w:val="6"/>
        <w:tblW w:w="9088" w:type="dxa"/>
        <w:tblInd w:w="92" w:type="dxa"/>
        <w:tblLayout w:type="autofit"/>
        <w:tblCellMar>
          <w:top w:w="0" w:type="dxa"/>
          <w:left w:w="108" w:type="dxa"/>
          <w:bottom w:w="0" w:type="dxa"/>
          <w:right w:w="108" w:type="dxa"/>
        </w:tblCellMar>
      </w:tblPr>
      <w:tblGrid>
        <w:gridCol w:w="646"/>
        <w:gridCol w:w="630"/>
        <w:gridCol w:w="624"/>
        <w:gridCol w:w="1056"/>
        <w:gridCol w:w="1455"/>
        <w:gridCol w:w="708"/>
        <w:gridCol w:w="851"/>
        <w:gridCol w:w="3118"/>
      </w:tblGrid>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项目名称</w:t>
            </w:r>
          </w:p>
        </w:tc>
        <w:tc>
          <w:tcPr>
            <w:tcW w:w="7188"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专利中心运行经费</w:t>
            </w:r>
          </w:p>
        </w:tc>
      </w:tr>
      <w:tr>
        <w:tblPrEx>
          <w:tblCellMar>
            <w:top w:w="0" w:type="dxa"/>
            <w:left w:w="108" w:type="dxa"/>
            <w:bottom w:w="0" w:type="dxa"/>
            <w:right w:w="108" w:type="dxa"/>
          </w:tblCellMar>
        </w:tblPrEx>
        <w:trPr>
          <w:trHeight w:val="443" w:hRule="atLeast"/>
        </w:trPr>
        <w:tc>
          <w:tcPr>
            <w:tcW w:w="1900"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主管部门及代码</w:t>
            </w:r>
          </w:p>
        </w:tc>
        <w:tc>
          <w:tcPr>
            <w:tcW w:w="2511"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[066]淮北市科学技术局</w:t>
            </w:r>
          </w:p>
        </w:tc>
        <w:tc>
          <w:tcPr>
            <w:tcW w:w="1559"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实施单位</w:t>
            </w:r>
          </w:p>
        </w:tc>
        <w:tc>
          <w:tcPr>
            <w:tcW w:w="311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淮北市专利技术展示交易中心</w:t>
            </w:r>
          </w:p>
        </w:tc>
      </w:tr>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项目来源</w:t>
            </w: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本级申报项目</w:t>
            </w:r>
          </w:p>
        </w:tc>
        <w:tc>
          <w:tcPr>
            <w:tcW w:w="1559"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项目期</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1年</w:t>
            </w:r>
          </w:p>
        </w:tc>
      </w:tr>
      <w:tr>
        <w:tblPrEx>
          <w:tblCellMar>
            <w:top w:w="0" w:type="dxa"/>
            <w:left w:w="108" w:type="dxa"/>
            <w:bottom w:w="0" w:type="dxa"/>
            <w:right w:w="108" w:type="dxa"/>
          </w:tblCellMar>
        </w:tblPrEx>
        <w:trPr>
          <w:trHeight w:val="443" w:hRule="atLeast"/>
        </w:trPr>
        <w:tc>
          <w:tcPr>
            <w:tcW w:w="1900"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项目资金</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（万元）</w:t>
            </w: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年度资金总额：</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64.30</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其中：财政拨款</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64.30</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上年结转</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0.00</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其他资金</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0.00</w:t>
            </w:r>
          </w:p>
        </w:tc>
      </w:tr>
      <w:tr>
        <w:tblPrEx>
          <w:tblCellMar>
            <w:top w:w="0" w:type="dxa"/>
            <w:left w:w="108" w:type="dxa"/>
            <w:bottom w:w="0" w:type="dxa"/>
            <w:right w:w="108" w:type="dxa"/>
          </w:tblCellMar>
        </w:tblPrEx>
        <w:trPr>
          <w:trHeight w:val="660" w:hRule="atLeast"/>
        </w:trPr>
        <w:tc>
          <w:tcPr>
            <w:tcW w:w="646"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年度</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目标</w:t>
            </w:r>
          </w:p>
        </w:tc>
        <w:tc>
          <w:tcPr>
            <w:tcW w:w="8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保障专利中心的正常运转。</w:t>
            </w:r>
          </w:p>
        </w:tc>
      </w:tr>
      <w:tr>
        <w:tblPrEx>
          <w:tblCellMar>
            <w:top w:w="0" w:type="dxa"/>
            <w:left w:w="108" w:type="dxa"/>
            <w:bottom w:w="0" w:type="dxa"/>
            <w:right w:w="108" w:type="dxa"/>
          </w:tblCellMar>
        </w:tblPrEx>
        <w:trPr>
          <w:trHeight w:val="480" w:hRule="atLeast"/>
        </w:trPr>
        <w:tc>
          <w:tcPr>
            <w:tcW w:w="64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绩</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效</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指</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标</w:t>
            </w:r>
          </w:p>
        </w:tc>
        <w:tc>
          <w:tcPr>
            <w:tcW w:w="630" w:type="dxa"/>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一级</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二级指标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三级指标</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指标值</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产出指标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数量指标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运转保障率</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质量指标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支出合规性</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预算标准</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时效指标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支付及时</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序时支出</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成本指标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项目总成本</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≤643000元</w:t>
            </w:r>
          </w:p>
        </w:tc>
      </w:tr>
      <w:tr>
        <w:tblPrEx>
          <w:tblCellMar>
            <w:top w:w="0" w:type="dxa"/>
            <w:left w:w="108" w:type="dxa"/>
            <w:bottom w:w="0" w:type="dxa"/>
            <w:right w:w="108" w:type="dxa"/>
          </w:tblCellMar>
        </w:tblPrEx>
        <w:trPr>
          <w:trHeight w:val="475"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效益指标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经济效益指标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带动经济发展</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保障工作正常</w:t>
            </w:r>
          </w:p>
        </w:tc>
      </w:tr>
      <w:tr>
        <w:tblPrEx>
          <w:tblCellMar>
            <w:top w:w="0" w:type="dxa"/>
            <w:left w:w="108" w:type="dxa"/>
            <w:bottom w:w="0" w:type="dxa"/>
            <w:right w:w="108" w:type="dxa"/>
          </w:tblCellMar>
        </w:tblPrEx>
        <w:trPr>
          <w:trHeight w:val="72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社会效益指标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对保障机构正常运转的影响程度</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579"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生态效益指标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对生态环境的影响</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对生态环境不影响</w:t>
            </w:r>
          </w:p>
        </w:tc>
      </w:tr>
      <w:tr>
        <w:tblPrEx>
          <w:tblCellMar>
            <w:top w:w="0" w:type="dxa"/>
            <w:left w:w="108" w:type="dxa"/>
            <w:bottom w:w="0" w:type="dxa"/>
            <w:right w:w="108" w:type="dxa"/>
          </w:tblCellMar>
        </w:tblPrEx>
        <w:trPr>
          <w:trHeight w:val="461"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可持续影响指标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对正常运转的影响</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72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满意度指标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满意度指标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服务企业满意度</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≥90百分比</w:t>
            </w:r>
          </w:p>
        </w:tc>
      </w:tr>
    </w:tbl>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陶铝研究院2024年工作经费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陶铝研究院2024年工作经费是单位开展日常业务活动工作经费，是重点围绕陶铝新材料产业开展科研发展、应用推广和知识产权建设工作的重要保障。开展产学研合作和高新技术成果转化，建设具有可持续发展性和战略性的产学研合作基础平台，推动我国新材料产业发展和探索产学研合作模式中发挥引领、示范、带动、骨干作用，围绕重大战略需求，解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卡脖子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问题。</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2019年1月8日市委常委会第77次会议； 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2019年2月17日市政府专题会议（第24号）； 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2019年4月16日创建国家高新技术产业开发区工作领导小组会议（第1期）； 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行政事业单位及上海交通大学有关财务制度及管理规定。</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上海交通大学安徽（淮北）陶铝新材料研究院。</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2024年1月－12月。</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贯彻执行行政事业单位和上海交通大学有关工作方针政策和法律法规，制定相关规范性内控制度文件；科技活动方面围绕特种铸造、航空材料、结构功能、高温结构、增材制造五大领域开展科技研发、技术合作和工艺路线优化等工作；日常工作方面围绕军民融合发展、分析检测测试、知识产权管理、政府政策规划和行政财务人事五大板块开展有关工作；深化产学研合作，组织开展产学研对接活动；开展创新平台建设工作；开展陶铝材料宣传工作。</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（6）年度预算安排：425万元。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发表论文3篇；专利申请3项；承担的省部、市级以上的纵向科研项目3项；研究院内部组织实施的相关科研项目5项——a.继续推进在研航空陶铝材料项目的科研工作，聚焦陶铝型材在航空应用背景下的关键科学问题，拓宽陶铝在大飞机上的应用；b.深入开展万米超深层油气资源钻完井用陶铝钻杆的工作，并启动相关产线的建设工作；c.继续对陶铝材料疲劳裂纹扩展、疲劳失效及铸造中的关键科学问题进行深入探究，阐明相关机理，为陶铝材料的产业化生产和复杂工况条件服役提供指导；d.在大深度XXX壳体用材需求的背景下，继续深入研究高强度高塑性Al-Zn-X合金的制备及组织性能控制，制备相应的成型件，并完成应用指标测试，尝试完成相关的应用推广；e.拟以粉末冶金法制备的纳米级（&lt;500 nm）TiB2颗粒增强铝基复合材料进行航空发动机环轧件的研制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f.继续开展新能源汽车关键部件原位自生铝基复材形性一体化调控技术研究；完成安徽省技术创新中心建设的年度目标；完成安徽省产业共性技术研究中心年度目标；陶铝各企、事业单位达成经济目标3000万元（销售收入）；举办或参加行业论坛、会议交流1次；</w:t>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项目支出绩效目标表</w:t>
      </w:r>
    </w:p>
    <w:p>
      <w:pPr>
        <w:jc w:val="center"/>
        <w:rPr>
          <w:rFonts w:ascii="仿宋_GB2312" w:hAnsi="楷体"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（2024年度）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tbl>
            <w:tblPr>
              <w:tblStyle w:val="6"/>
              <w:tblW w:w="9059" w:type="dxa"/>
              <w:tblInd w:w="0" w:type="dxa"/>
              <w:tblLayout w:type="fixed"/>
              <w:tblCellMar>
                <w:top w:w="0" w:type="dxa"/>
                <w:left w:w="108" w:type="dxa"/>
                <w:bottom w:w="0" w:type="dxa"/>
                <w:right w:w="108" w:type="dxa"/>
              </w:tblCellMar>
            </w:tblPr>
            <w:tblGrid>
              <w:gridCol w:w="629"/>
              <w:gridCol w:w="840"/>
              <w:gridCol w:w="226"/>
              <w:gridCol w:w="929"/>
              <w:gridCol w:w="1766"/>
              <w:gridCol w:w="1134"/>
              <w:gridCol w:w="141"/>
              <w:gridCol w:w="3394"/>
            </w:tblGrid>
            <w:tr>
              <w:tblPrEx>
                <w:tblCellMar>
                  <w:top w:w="0" w:type="dxa"/>
                  <w:left w:w="108" w:type="dxa"/>
                  <w:bottom w:w="0" w:type="dxa"/>
                  <w:right w:w="108" w:type="dxa"/>
                </w:tblCellMar>
              </w:tblPrEx>
              <w:trPr>
                <w:trHeight w:val="691" w:hRule="atLeast"/>
              </w:trPr>
              <w:tc>
                <w:tcPr>
                  <w:tcW w:w="16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736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陶铝研究院2024年工作经费</w:t>
                  </w:r>
                </w:p>
              </w:tc>
            </w:tr>
            <w:tr>
              <w:tblPrEx>
                <w:tblCellMar>
                  <w:top w:w="0" w:type="dxa"/>
                  <w:left w:w="108" w:type="dxa"/>
                  <w:bottom w:w="0" w:type="dxa"/>
                  <w:right w:w="108" w:type="dxa"/>
                </w:tblCellMar>
              </w:tblPrEx>
              <w:trPr>
                <w:trHeight w:val="443" w:hRule="atLeast"/>
              </w:trPr>
              <w:tc>
                <w:tcPr>
                  <w:tcW w:w="1695"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主管部门及代码</w:t>
                  </w:r>
                </w:p>
              </w:tc>
              <w:tc>
                <w:tcPr>
                  <w:tcW w:w="2695"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275"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3394" w:type="dxa"/>
                  <w:tcBorders>
                    <w:top w:val="nil"/>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上海交通大学安徽（淮北）陶铝新材料研究院</w:t>
                  </w:r>
                </w:p>
              </w:tc>
            </w:tr>
            <w:tr>
              <w:tblPrEx>
                <w:tblCellMar>
                  <w:top w:w="0" w:type="dxa"/>
                  <w:left w:w="108" w:type="dxa"/>
                  <w:bottom w:w="0" w:type="dxa"/>
                  <w:right w:w="108" w:type="dxa"/>
                </w:tblCellMar>
              </w:tblPrEx>
              <w:trPr>
                <w:trHeight w:val="443" w:hRule="atLeast"/>
              </w:trPr>
              <w:tc>
                <w:tcPr>
                  <w:tcW w:w="1695"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269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27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CellMar>
                  <w:top w:w="0" w:type="dxa"/>
                  <w:left w:w="108" w:type="dxa"/>
                  <w:bottom w:w="0" w:type="dxa"/>
                  <w:right w:w="108" w:type="dxa"/>
                </w:tblCellMar>
              </w:tblPrEx>
              <w:trPr>
                <w:trHeight w:val="443" w:hRule="atLeast"/>
              </w:trPr>
              <w:tc>
                <w:tcPr>
                  <w:tcW w:w="1695"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2695"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46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425</w:t>
                  </w:r>
                </w:p>
              </w:tc>
            </w:tr>
            <w:tr>
              <w:tblPrEx>
                <w:tblCellMar>
                  <w:top w:w="0" w:type="dxa"/>
                  <w:left w:w="108" w:type="dxa"/>
                  <w:bottom w:w="0" w:type="dxa"/>
                  <w:right w:w="108" w:type="dxa"/>
                </w:tblCellMar>
              </w:tblPrEx>
              <w:trPr>
                <w:trHeight w:val="443" w:hRule="atLeast"/>
              </w:trPr>
              <w:tc>
                <w:tcPr>
                  <w:tcW w:w="1695"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695"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46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425</w:t>
                  </w:r>
                </w:p>
              </w:tc>
            </w:tr>
            <w:tr>
              <w:tblPrEx>
                <w:tblCellMar>
                  <w:top w:w="0" w:type="dxa"/>
                  <w:left w:w="108" w:type="dxa"/>
                  <w:bottom w:w="0" w:type="dxa"/>
                  <w:right w:w="108" w:type="dxa"/>
                </w:tblCellMar>
              </w:tblPrEx>
              <w:trPr>
                <w:trHeight w:val="443" w:hRule="atLeast"/>
              </w:trPr>
              <w:tc>
                <w:tcPr>
                  <w:tcW w:w="1695"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695"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46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trHeight w:val="443" w:hRule="atLeast"/>
              </w:trPr>
              <w:tc>
                <w:tcPr>
                  <w:tcW w:w="1695"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695"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46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0.00</w:t>
                  </w:r>
                </w:p>
              </w:tc>
            </w:tr>
            <w:tr>
              <w:tblPrEx>
                <w:tblCellMar>
                  <w:top w:w="0" w:type="dxa"/>
                  <w:left w:w="108" w:type="dxa"/>
                  <w:bottom w:w="0" w:type="dxa"/>
                  <w:right w:w="108" w:type="dxa"/>
                </w:tblCellMar>
              </w:tblPrEx>
              <w:trPr>
                <w:trHeight w:val="882" w:hRule="atLeast"/>
              </w:trPr>
              <w:tc>
                <w:tcPr>
                  <w:tcW w:w="629"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4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目标1：完成创新平台年度目标</w:t>
                  </w:r>
                </w:p>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目标2：完成五大研究所年度科研目标</w:t>
                  </w:r>
                </w:p>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目标3：完成科技成果产出目标</w:t>
                  </w:r>
                </w:p>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目标4：完成产业公司经济效益指标</w:t>
                  </w:r>
                </w:p>
              </w:tc>
            </w:tr>
            <w:tr>
              <w:tblPrEx>
                <w:tblCellMar>
                  <w:top w:w="0" w:type="dxa"/>
                  <w:left w:w="108" w:type="dxa"/>
                  <w:bottom w:w="0" w:type="dxa"/>
                  <w:right w:w="108" w:type="dxa"/>
                </w:tblCellMar>
              </w:tblPrEx>
              <w:trPr>
                <w:trHeight w:val="647" w:hRule="atLeast"/>
              </w:trPr>
              <w:tc>
                <w:tcPr>
                  <w:tcW w:w="6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CellMar>
                  <w:top w:w="0" w:type="dxa"/>
                  <w:left w:w="108" w:type="dxa"/>
                  <w:bottom w:w="0" w:type="dxa"/>
                  <w:right w:w="108" w:type="dxa"/>
                </w:tblCellMar>
              </w:tblPrEx>
              <w:trPr>
                <w:trHeight w:val="26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vMerge w:val="restart"/>
                  <w:tcBorders>
                    <w:top w:val="single" w:color="auto" w:sz="4" w:space="0"/>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专利申请量</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r>
            <w:tr>
              <w:tblPrEx>
                <w:tblCellMar>
                  <w:top w:w="0" w:type="dxa"/>
                  <w:left w:w="108" w:type="dxa"/>
                  <w:bottom w:w="0" w:type="dxa"/>
                  <w:right w:w="108" w:type="dxa"/>
                </w:tblCellMar>
              </w:tblPrEx>
              <w:trPr>
                <w:trHeight w:val="349"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left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论文发表量</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r>
            <w:tr>
              <w:tblPrEx>
                <w:tblCellMar>
                  <w:top w:w="0" w:type="dxa"/>
                  <w:left w:w="108" w:type="dxa"/>
                  <w:bottom w:w="0" w:type="dxa"/>
                  <w:right w:w="108" w:type="dxa"/>
                </w:tblCellMar>
              </w:tblPrEx>
              <w:trPr>
                <w:trHeight w:val="48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承担纵横项科研项目</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r>
            <w:tr>
              <w:tblPrEx>
                <w:tblCellMar>
                  <w:top w:w="0" w:type="dxa"/>
                  <w:left w:w="108" w:type="dxa"/>
                  <w:bottom w:w="0" w:type="dxa"/>
                  <w:right w:w="108" w:type="dxa"/>
                </w:tblCellMar>
              </w:tblPrEx>
              <w:trPr>
                <w:trHeight w:val="361"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内部科研项目</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48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8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19"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≤425万元</w:t>
                  </w:r>
                </w:p>
              </w:tc>
            </w:tr>
            <w:tr>
              <w:tblPrEx>
                <w:tblCellMar>
                  <w:top w:w="0" w:type="dxa"/>
                  <w:left w:w="108" w:type="dxa"/>
                  <w:bottom w:w="0" w:type="dxa"/>
                  <w:right w:w="108" w:type="dxa"/>
                </w:tblCellMar>
              </w:tblPrEx>
              <w:trPr>
                <w:trHeight w:val="694"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陶铝各企业销售收入</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≥3000万元</w:t>
                  </w:r>
                </w:p>
              </w:tc>
            </w:tr>
            <w:tr>
              <w:tblPrEx>
                <w:tblCellMar>
                  <w:top w:w="0" w:type="dxa"/>
                  <w:left w:w="108" w:type="dxa"/>
                  <w:bottom w:w="0" w:type="dxa"/>
                  <w:right w:w="108" w:type="dxa"/>
                </w:tblCellMar>
              </w:tblPrEx>
              <w:trPr>
                <w:trHeight w:val="425"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服务企业数</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712"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举办或参加行业论坛、会议交流次数</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r>
            <w:tr>
              <w:tblPrEx>
                <w:tblCellMar>
                  <w:top w:w="0" w:type="dxa"/>
                  <w:left w:w="108" w:type="dxa"/>
                  <w:bottom w:w="0" w:type="dxa"/>
                  <w:right w:w="108" w:type="dxa"/>
                </w:tblCellMar>
              </w:tblPrEx>
              <w:trPr>
                <w:trHeight w:val="553"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CellMar>
                  <w:top w:w="0" w:type="dxa"/>
                  <w:left w:w="108" w:type="dxa"/>
                  <w:bottom w:w="0" w:type="dxa"/>
                  <w:right w:w="108" w:type="dxa"/>
                </w:tblCellMar>
              </w:tblPrEx>
              <w:trPr>
                <w:trHeight w:val="48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对企业的促进作用</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提高研发能力</w:t>
                  </w:r>
                </w:p>
              </w:tc>
            </w:tr>
            <w:tr>
              <w:tblPrEx>
                <w:tblCellMar>
                  <w:top w:w="0" w:type="dxa"/>
                  <w:left w:w="108" w:type="dxa"/>
                  <w:bottom w:w="0" w:type="dxa"/>
                  <w:right w:w="108" w:type="dxa"/>
                </w:tblCellMar>
              </w:tblPrEx>
              <w:trPr>
                <w:trHeight w:val="48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对带动产业链健康发展的持续影响程度</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带动经济发展</w:t>
                  </w:r>
                </w:p>
              </w:tc>
            </w:tr>
            <w:tr>
              <w:tblPrEx>
                <w:tblCellMar>
                  <w:top w:w="0" w:type="dxa"/>
                  <w:left w:w="108" w:type="dxa"/>
                  <w:bottom w:w="0" w:type="dxa"/>
                  <w:right w:w="108" w:type="dxa"/>
                </w:tblCellMar>
              </w:tblPrEx>
              <w:trPr>
                <w:trHeight w:val="720" w:hRule="atLeast"/>
              </w:trPr>
              <w:tc>
                <w:tcPr>
                  <w:tcW w:w="62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29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社会服务满意度</w:t>
                  </w:r>
                </w:p>
              </w:tc>
              <w:tc>
                <w:tcPr>
                  <w:tcW w:w="3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textAlignment w:val="center"/>
              <w:rPr>
                <w:b/>
                <w:bCs/>
                <w:color w:val="000000" w:themeColor="text1"/>
                <w:szCs w:val="32"/>
                <w14:textFill>
                  <w14:solidFill>
                    <w14:schemeClr w14:val="tx1"/>
                  </w14:solidFill>
                </w14:textFill>
              </w:rPr>
            </w:pPr>
          </w:p>
        </w:tc>
      </w:tr>
    </w:tbl>
    <w:p>
      <w:pPr>
        <w:rPr>
          <w:color w:val="000000" w:themeColor="text1"/>
          <w14:textFill>
            <w14:solidFill>
              <w14:schemeClr w14:val="tx1"/>
            </w14:solidFill>
          </w14:textFill>
        </w:rPr>
      </w:pP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（二）机关运行经费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淮北市科技局2024年机关运行经费财政拨款预算58.48万元，比2023年预算增加1.94万元，增长3.4%，原因主要是人员变动交通费用变动因素。</w:t>
      </w: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（三）政府采购情况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淮北市科技局2024年政府采购预算5.19万元。其中：政府采购货物预算5.19万元，政府采购工程预算0万元，政府采购服务预算0万元。</w:t>
      </w: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（四）国有资产占有使用情况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截至2023年12月31日，淮北市科技局部门共有车辆3辆，其中：其他用车3辆。单价50万元以上的通用设备0台（套），单价100万元以上的专用设备0台（套）。</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2024年部门预算安排购置公务用车0辆，购置费0万元；安排购置单价50万元以上的通用设备0台（套），购置费0万元；安排购置单价100万元以上专用设备0台（套），购置费0万元。</w:t>
      </w:r>
    </w:p>
    <w:p>
      <w:pPr>
        <w:widowControl w:val="0"/>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（五）绩效目标设置情况</w:t>
      </w:r>
    </w:p>
    <w:p>
      <w:pPr>
        <w:widowControl w:val="0"/>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2024年，淮北市科技局6个项目实行了绩效目标管理，涉及一般公共预算当年财政拨款4646.5万元、政府性基金预算当年财政拨款0万元、财政专户管理资金当年安排0万元。</w:t>
      </w:r>
    </w:p>
    <w:p>
      <w:pPr>
        <w:pStyle w:val="5"/>
        <w:adjustRightInd w:val="0"/>
        <w:snapToGrid w:val="0"/>
        <w:spacing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第四部分 名词解释</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一、财政拨款收入</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指部门或单位从同级财政部门取得的财政预算资金。</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二、基本支出</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三、项目支出</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指在除基本支出之外的支出，主要用于完成特定的工作任务和事业发展目标。</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四、机关运行经费</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6" w:type="default"/>
      <w:pgSz w:w="11906" w:h="16838"/>
      <w:pgMar w:top="1701" w:right="1418" w:bottom="1418" w:left="1701" w:header="851" w:footer="992" w:gutter="0"/>
      <w:pgNumType w:fmt="numberInDash"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w:panose1 w:val="00000000000000000000"/>
    <w:charset w:val="00"/>
    <w:family w:val="auto"/>
    <w:pitch w:val="default"/>
    <w:sig w:usb0="00000000" w:usb1="00000000" w:usb2="00000029" w:usb3="00000000" w:csb0="6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49"/>
      <w:docPartObj>
        <w:docPartGallery w:val="autotext"/>
      </w:docPartObj>
    </w:sdtPr>
    <w:sdtContent>
      <w:p>
        <w:pPr>
          <w:pStyle w:val="2"/>
          <w:ind w:right="360"/>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24"/>
      <w:docPartObj>
        <w:docPartGallery w:val="autotext"/>
      </w:docPartObj>
    </w:sdt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25"/>
      <w:docPartObj>
        <w:docPartGallery w:val="autotext"/>
      </w:docPartObj>
    </w:sdt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mirrorMargins w:val="1"/>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15D5B"/>
    <w:rsid w:val="00021ABE"/>
    <w:rsid w:val="000630DB"/>
    <w:rsid w:val="00081D65"/>
    <w:rsid w:val="00083D7F"/>
    <w:rsid w:val="00092CFA"/>
    <w:rsid w:val="000B71DA"/>
    <w:rsid w:val="000C05A2"/>
    <w:rsid w:val="000E28EE"/>
    <w:rsid w:val="000E3F57"/>
    <w:rsid w:val="000F090F"/>
    <w:rsid w:val="001447FC"/>
    <w:rsid w:val="001750E7"/>
    <w:rsid w:val="002165E1"/>
    <w:rsid w:val="002405B9"/>
    <w:rsid w:val="00241CCC"/>
    <w:rsid w:val="002648D8"/>
    <w:rsid w:val="00267E33"/>
    <w:rsid w:val="00295A58"/>
    <w:rsid w:val="002F506A"/>
    <w:rsid w:val="00304B33"/>
    <w:rsid w:val="00316634"/>
    <w:rsid w:val="00325BAB"/>
    <w:rsid w:val="0033079C"/>
    <w:rsid w:val="003373E0"/>
    <w:rsid w:val="0036134F"/>
    <w:rsid w:val="00361F7C"/>
    <w:rsid w:val="00376947"/>
    <w:rsid w:val="00431B83"/>
    <w:rsid w:val="00455343"/>
    <w:rsid w:val="00471E03"/>
    <w:rsid w:val="004A4DC6"/>
    <w:rsid w:val="004D57B1"/>
    <w:rsid w:val="004F3BB8"/>
    <w:rsid w:val="00545A00"/>
    <w:rsid w:val="005551FD"/>
    <w:rsid w:val="0057562B"/>
    <w:rsid w:val="00591514"/>
    <w:rsid w:val="005919FF"/>
    <w:rsid w:val="006056E2"/>
    <w:rsid w:val="006546AF"/>
    <w:rsid w:val="006644E5"/>
    <w:rsid w:val="006773E0"/>
    <w:rsid w:val="00707FFC"/>
    <w:rsid w:val="00726D96"/>
    <w:rsid w:val="007555D6"/>
    <w:rsid w:val="00773292"/>
    <w:rsid w:val="00787B90"/>
    <w:rsid w:val="00794618"/>
    <w:rsid w:val="007D42F5"/>
    <w:rsid w:val="00821E93"/>
    <w:rsid w:val="0086580C"/>
    <w:rsid w:val="008B61BE"/>
    <w:rsid w:val="008C063F"/>
    <w:rsid w:val="008C7346"/>
    <w:rsid w:val="008E7DF3"/>
    <w:rsid w:val="008F6D1A"/>
    <w:rsid w:val="009248F2"/>
    <w:rsid w:val="009A3CA3"/>
    <w:rsid w:val="009E2AFF"/>
    <w:rsid w:val="00A024A0"/>
    <w:rsid w:val="00A609F1"/>
    <w:rsid w:val="00AB3FD0"/>
    <w:rsid w:val="00AD578B"/>
    <w:rsid w:val="00AE1AF6"/>
    <w:rsid w:val="00AE3242"/>
    <w:rsid w:val="00BC78D7"/>
    <w:rsid w:val="00BD640A"/>
    <w:rsid w:val="00C25462"/>
    <w:rsid w:val="00C25604"/>
    <w:rsid w:val="00C41BCE"/>
    <w:rsid w:val="00D05DB9"/>
    <w:rsid w:val="00D323AD"/>
    <w:rsid w:val="00DB2A5C"/>
    <w:rsid w:val="00DB673F"/>
    <w:rsid w:val="00E02E71"/>
    <w:rsid w:val="00E35E96"/>
    <w:rsid w:val="00E400DC"/>
    <w:rsid w:val="00E86C79"/>
    <w:rsid w:val="00E907C4"/>
    <w:rsid w:val="00E92C12"/>
    <w:rsid w:val="00EC7755"/>
    <w:rsid w:val="00EE5551"/>
    <w:rsid w:val="00EF2262"/>
    <w:rsid w:val="00F01BC0"/>
    <w:rsid w:val="00F82A93"/>
    <w:rsid w:val="00F974AD"/>
    <w:rsid w:val="0740693F"/>
    <w:rsid w:val="14952895"/>
    <w:rsid w:val="1A8B1528"/>
    <w:rsid w:val="312A6048"/>
    <w:rsid w:val="67BD7759"/>
    <w:rsid w:val="7B60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Body Text 2"/>
    <w:basedOn w:val="1"/>
    <w:link w:val="10"/>
    <w:semiHidden/>
    <w:unhideWhenUsed/>
    <w:qFormat/>
    <w:uiPriority w:val="0"/>
    <w:pPr>
      <w:widowControl w:val="0"/>
      <w:spacing w:after="120" w:line="480" w:lineRule="auto"/>
      <w:jc w:val="both"/>
    </w:pPr>
    <w:rPr>
      <w:rFonts w:ascii="Times New Roman" w:hAnsi="Times New Roman" w:cs="Times New Roman"/>
      <w:kern w:val="2"/>
      <w:sz w:val="21"/>
    </w:rPr>
  </w:style>
  <w:style w:type="paragraph" w:styleId="5">
    <w:name w:val="Normal (Web)"/>
    <w:basedOn w:val="1"/>
    <w:qFormat/>
    <w:uiPriority w:val="0"/>
    <w:pPr>
      <w:spacing w:before="100" w:beforeAutospacing="1" w:after="100" w:afterAutospacing="1"/>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正文文本 2 Char"/>
    <w:basedOn w:val="7"/>
    <w:link w:val="4"/>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2028</Words>
  <Characters>11562</Characters>
  <Lines>96</Lines>
  <Paragraphs>27</Paragraphs>
  <TotalTime>14</TotalTime>
  <ScaleCrop>false</ScaleCrop>
  <LinksUpToDate>false</LinksUpToDate>
  <CharactersWithSpaces>13563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2024-02-27T02:26:00Z</dcterms:created>
  <dc:creator>lenovo</dc:creator>
  <cp:lastModifiedBy>Administrator</cp:lastModifiedBy>
  <cp:lastPrinted>2024-02-27T02:15:00Z</cp:lastPrinted>
  <dcterms:modified xsi:type="dcterms:W3CDTF">2024-09-06T08:00:49Z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