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NewRoman" w:eastAsia="黑体" w:cs="Times New Roman"/>
          <w:sz w:val="24"/>
          <w:szCs w:val="24"/>
        </w:rPr>
        <w:t>附件</w:t>
      </w:r>
      <w:r>
        <w:rPr>
          <w:rFonts w:ascii="Times New Roman" w:hAnsi="Times New Roman" w:eastAsia="黑体" w:cs="Times New Roman"/>
          <w:sz w:val="24"/>
          <w:szCs w:val="24"/>
        </w:rPr>
        <w:t>1-1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eastAsia="方正小标宋简体" w:cs="Times New Roman"/>
          <w:sz w:val="50"/>
          <w:szCs w:val="50"/>
        </w:rPr>
      </w:pPr>
      <w:r>
        <w:rPr>
          <w:rFonts w:ascii="Times New Roman" w:hAnsi="Times New Roman" w:eastAsia="方正小标宋简体" w:cs="Times New Roman"/>
          <w:sz w:val="50"/>
          <w:szCs w:val="50"/>
        </w:rPr>
        <w:t>淮北市科技活动交流中心</w:t>
      </w:r>
    </w:p>
    <w:p>
      <w:pPr>
        <w:jc w:val="center"/>
        <w:rPr>
          <w:rFonts w:ascii="Times New Roman" w:hAnsi="Times New Roman" w:eastAsia="方正小标宋简体" w:cs="Times New Roman"/>
          <w:sz w:val="50"/>
          <w:szCs w:val="50"/>
        </w:rPr>
      </w:pPr>
      <w:r>
        <w:rPr>
          <w:rFonts w:ascii="Times New Roman" w:hAnsi="Times New Roman" w:eastAsia="方正小标宋简体" w:cs="Times New Roman"/>
          <w:sz w:val="50"/>
          <w:szCs w:val="50"/>
        </w:rPr>
        <w:t>2024年单位预算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4"/>
        <w:ind w:firstLine="643"/>
        <w:jc w:val="center"/>
        <w:rPr>
          <w:rFonts w:ascii="Times New Roman" w:hAnsi="Times New Roman" w:cs="Times New Roman"/>
        </w:rPr>
        <w:sectPr>
          <w:footerReference r:id="rId3" w:type="default"/>
          <w:footerReference r:id="rId4" w:type="even"/>
          <w:pgSz w:w="11906" w:h="16838"/>
          <w:pgMar w:top="1701" w:right="1418" w:bottom="1418" w:left="1701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cs="Times New Roman"/>
        </w:rPr>
        <w:t>2024</w:t>
      </w:r>
      <w:r>
        <w:rPr>
          <w:rFonts w:asci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cs="Times New Roman"/>
        </w:rPr>
        <w:t>月</w:t>
      </w:r>
    </w:p>
    <w:p>
      <w:pPr>
        <w:pStyle w:val="4"/>
        <w:ind w:firstLine="1004"/>
        <w:jc w:val="center"/>
        <w:rPr>
          <w:rFonts w:ascii="Times New Roman" w:hAnsi="Times New Roman" w:eastAsia="方正小标宋简体" w:cs="Times New Roman"/>
          <w:kern w:val="2"/>
          <w:sz w:val="50"/>
          <w:szCs w:val="50"/>
        </w:rPr>
      </w:pPr>
      <w:r>
        <w:rPr>
          <w:rFonts w:ascii="Times New Roman" w:hAnsi="Times New Roman" w:eastAsia="方正小标宋简体" w:cs="Times New Roman"/>
          <w:kern w:val="2"/>
          <w:sz w:val="50"/>
          <w:szCs w:val="50"/>
        </w:rPr>
        <w:t>目  录</w:t>
      </w:r>
    </w:p>
    <w:p>
      <w:pPr>
        <w:rPr>
          <w:rFonts w:ascii="Times New Roman" w:hAnsi="Times New Roman" w:cs="Times New Roman"/>
        </w:rPr>
      </w:pP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第一部分</w:t>
      </w:r>
      <w:r>
        <w:rPr>
          <w:rFonts w:ascii="Times New Roman" w:hAnsi="Times New Roman" w:eastAsia="黑体" w:cs="Times New Roman"/>
          <w:sz w:val="32"/>
          <w:szCs w:val="32"/>
        </w:rPr>
        <w:t xml:space="preserve">  </w:t>
      </w:r>
      <w:r>
        <w:rPr>
          <w:rFonts w:ascii="Times New Roman" w:hAnsi="黑体" w:eastAsia="黑体" w:cs="Times New Roman"/>
          <w:sz w:val="32"/>
          <w:szCs w:val="32"/>
        </w:rPr>
        <w:t>单位概况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1、主要职责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2、单位预算构成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3、2024年度主要工作任务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第二部分</w:t>
      </w:r>
      <w:r>
        <w:rPr>
          <w:rFonts w:ascii="Times New Roman" w:hAnsi="Times New Roman" w:eastAsia="黑体" w:cs="Times New Roman"/>
          <w:sz w:val="32"/>
          <w:szCs w:val="32"/>
        </w:rPr>
        <w:t xml:space="preserve">  2024</w:t>
      </w:r>
      <w:r>
        <w:rPr>
          <w:rFonts w:ascii="Times New Roman" w:hAnsi="黑体" w:eastAsia="黑体" w:cs="Times New Roman"/>
          <w:sz w:val="32"/>
          <w:szCs w:val="32"/>
        </w:rPr>
        <w:t>年单位预算表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1、淮北市科技活动交流中心2024年收支总表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2、淮北市科技活动交流中心2024年收入总表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3、淮北市科技活动交流中心2024年支出总表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4、淮北市科技活动交流中心2024年财政拨款收支总表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5、淮北市科技活动交流中心2024年一般公共预算支出表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6、淮北市科技活动交流中心2024年一般公共预算基本支出表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7、淮北市科技活动交流中心2024年政府性基金预算支出表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8、淮北市科技活动交流中心2024年国有资本经营预算支出表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9、淮北市科技活动交流中心2024年项目支出表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10、淮北市科技活动交流中心2024年政府采购支出表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11、淮北市科技活动交流中心2024年政府购买服务支出表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12、淮北市科技活动交流中心2024年通用资产配置支出表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第三部分</w:t>
      </w:r>
      <w:r>
        <w:rPr>
          <w:rFonts w:ascii="Times New Roman" w:hAnsi="Times New Roman" w:eastAsia="黑体" w:cs="Times New Roman"/>
          <w:sz w:val="32"/>
          <w:szCs w:val="32"/>
        </w:rPr>
        <w:t xml:space="preserve">  2024</w:t>
      </w:r>
      <w:r>
        <w:rPr>
          <w:rFonts w:ascii="Times New Roman" w:hAnsi="黑体" w:eastAsia="黑体" w:cs="Times New Roman"/>
          <w:sz w:val="32"/>
          <w:szCs w:val="32"/>
        </w:rPr>
        <w:t>年单位预算情况说明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1、关于2024年收支总表的说明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2、关于2024年收入总表的说明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3、关于2024年支出总表的说明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4、关于2024年财政拨款收支总表的说明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5、关于2024年一般公共预算支出表的说明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6、关于2024年一般公共预算基本支出表的说明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7、关于2024年政府性基金预算支出表的说明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8、关于2024年国有资本经营预算支出表的说明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9、关于2024年项目支出表的说明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10、关于2024年政府采购支出表的说明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11、关于2024年政府购买服务支出表的说明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12、其他重要事项情况说明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第四部分</w:t>
      </w:r>
      <w:r>
        <w:rPr>
          <w:rFonts w:ascii="Times New Roman" w:hAnsi="Times New Roman" w:eastAsia="黑体" w:cs="Times New Roman"/>
          <w:sz w:val="32"/>
          <w:szCs w:val="32"/>
        </w:rPr>
        <w:t xml:space="preserve">  </w:t>
      </w:r>
      <w:r>
        <w:rPr>
          <w:rFonts w:ascii="Times New Roman" w:hAnsi="黑体" w:eastAsia="黑体" w:cs="Times New Roman"/>
          <w:sz w:val="32"/>
          <w:szCs w:val="32"/>
        </w:rPr>
        <w:t>名词解释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第五部分</w:t>
      </w:r>
      <w:r>
        <w:rPr>
          <w:rFonts w:ascii="Times New Roman" w:hAnsi="Times New Roman" w:eastAsia="黑体" w:cs="Times New Roman"/>
          <w:sz w:val="32"/>
          <w:szCs w:val="32"/>
        </w:rPr>
        <w:t xml:space="preserve">  </w:t>
      </w:r>
      <w:r>
        <w:rPr>
          <w:rFonts w:ascii="Times New Roman" w:hAnsi="黑体" w:eastAsia="黑体" w:cs="Times New Roman"/>
          <w:sz w:val="32"/>
          <w:szCs w:val="32"/>
        </w:rPr>
        <w:t>其它公开事项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1、淮北市科技活动交流中心2024年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单位</w:t>
      </w:r>
      <w:r>
        <w:rPr>
          <w:rFonts w:ascii="Times New Roman" w:hAnsi="Times New Roman" w:eastAsia="仿宋_GB2312" w:cs="Times New Roman"/>
          <w:sz w:val="32"/>
          <w:szCs w:val="32"/>
        </w:rPr>
        <w:t>预算纳入绩效考评项目表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2、淮北市科技活动交流中心2024年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单位</w:t>
      </w:r>
      <w:r>
        <w:rPr>
          <w:rFonts w:ascii="Times New Roman" w:hAnsi="Times New Roman" w:eastAsia="仿宋_GB2312" w:cs="Times New Roman"/>
          <w:sz w:val="32"/>
          <w:szCs w:val="32"/>
        </w:rPr>
        <w:t>预算专项资金管理清单（专栏公开）</w:t>
      </w:r>
    </w:p>
    <w:p>
      <w:pPr>
        <w:pStyle w:val="4"/>
        <w:ind w:firstLine="643"/>
        <w:rPr>
          <w:rFonts w:ascii="Times New Roman" w:hAnsi="Times New Roman" w:cs="Times New Roman"/>
        </w:rPr>
        <w:sectPr>
          <w:footerReference r:id="rId5" w:type="default"/>
          <w:footerReference r:id="rId6" w:type="even"/>
          <w:pgSz w:w="11906" w:h="16838"/>
          <w:pgMar w:top="1701" w:right="1418" w:bottom="1418" w:left="1701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pStyle w:val="4"/>
        <w:ind w:firstLine="643"/>
        <w:jc w:val="center"/>
        <w:rPr>
          <w:rFonts w:ascii="Times New Roman" w:hAnsi="Times New Roman" w:eastAsia="方正小标宋简体" w:cs="Times New Roman"/>
        </w:rPr>
      </w:pPr>
      <w:r>
        <w:rPr>
          <w:rFonts w:ascii="Times New Roman" w:hAnsi="Times New Roman" w:eastAsia="方正小标宋简体" w:cs="Times New Roman"/>
        </w:rPr>
        <w:t>第一部分  单位概况</w:t>
      </w:r>
    </w:p>
    <w:p>
      <w:pPr>
        <w:rPr>
          <w:rFonts w:ascii="Times New Roman" w:hAnsi="Times New Roman" w:cs="Times New Roman"/>
        </w:rPr>
      </w:pPr>
    </w:p>
    <w:p>
      <w:pPr>
        <w:pStyle w:val="4"/>
        <w:snapToGrid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一、主要职责</w:t>
      </w:r>
    </w:p>
    <w:p>
      <w:pPr>
        <w:pStyle w:val="4"/>
        <w:snapToGrid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（一）组织开展科技宣传、送科技下乡、科技活动周、专利宣传周等科普宣传活动。</w:t>
      </w:r>
    </w:p>
    <w:p>
      <w:pPr>
        <w:pStyle w:val="4"/>
        <w:snapToGrid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（二）组织开展市内外科技交流、科技合作、技术对接等业务活动。</w:t>
      </w:r>
    </w:p>
    <w:p>
      <w:pPr>
        <w:pStyle w:val="4"/>
        <w:snapToGrid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（三）按照科技局安排做好物业管理工作。</w:t>
      </w:r>
    </w:p>
    <w:p>
      <w:pPr>
        <w:pStyle w:val="4"/>
        <w:snapToGrid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二、单位预算构成</w:t>
      </w:r>
    </w:p>
    <w:p>
      <w:pPr>
        <w:pStyle w:val="4"/>
        <w:snapToGrid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从预算单位构成看，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淮北市科技活动交流中心</w:t>
      </w:r>
      <w:r>
        <w:rPr>
          <w:rFonts w:ascii="Times New Roman" w:hAnsi="Times New Roman" w:eastAsia="仿宋_GB2312" w:cs="Times New Roman"/>
          <w:sz w:val="32"/>
          <w:szCs w:val="32"/>
        </w:rPr>
        <w:t>2024年度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单位</w:t>
      </w:r>
      <w:r>
        <w:rPr>
          <w:rFonts w:ascii="Times New Roman" w:hAnsi="Times New Roman" w:eastAsia="仿宋_GB2312" w:cs="Times New Roman"/>
          <w:sz w:val="32"/>
          <w:szCs w:val="32"/>
        </w:rPr>
        <w:t>预算仅包括本级预算，无其他下属单位预算。</w:t>
      </w:r>
    </w:p>
    <w:p>
      <w:pPr>
        <w:pStyle w:val="4"/>
        <w:snapToGrid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三、</w:t>
      </w:r>
      <w:r>
        <w:rPr>
          <w:rFonts w:ascii="Times New Roman" w:hAnsi="Times New Roman" w:eastAsia="黑体" w:cs="Times New Roman"/>
          <w:sz w:val="32"/>
          <w:szCs w:val="32"/>
        </w:rPr>
        <w:t>2024</w:t>
      </w:r>
      <w:r>
        <w:rPr>
          <w:rFonts w:ascii="Times New Roman" w:hAnsi="黑体" w:eastAsia="黑体" w:cs="Times New Roman"/>
          <w:sz w:val="32"/>
          <w:szCs w:val="32"/>
        </w:rPr>
        <w:t>年度主要工作任务</w:t>
      </w:r>
    </w:p>
    <w:p>
      <w:pPr>
        <w:spacing w:line="580" w:lineRule="exact"/>
        <w:ind w:firstLine="640" w:firstLineChars="200"/>
        <w:contextualSpacing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（一）积极开展科技活动周、送科技下乡等活动。</w:t>
      </w:r>
    </w:p>
    <w:p>
      <w:pPr>
        <w:spacing w:line="580" w:lineRule="exact"/>
        <w:ind w:firstLine="640" w:firstLineChars="200"/>
        <w:contextualSpacing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（二）充分利用科技活动周、政策宣讲会、要素对接会、组团走访企业等集中活动，强化宣传四送一服的目的、意义，进一步扩大四送一服影响面。</w:t>
      </w:r>
    </w:p>
    <w:p>
      <w:pPr>
        <w:spacing w:line="580" w:lineRule="exact"/>
        <w:ind w:firstLine="640" w:firstLineChars="200"/>
        <w:contextualSpacing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（三）积极搭建平台，开展科技要素对接。开展企业技术要素征集；发布科技成果信息；开展“百家高企进高校”系列活动。</w:t>
      </w:r>
    </w:p>
    <w:p>
      <w:pPr>
        <w:pStyle w:val="4"/>
        <w:snapToGrid/>
        <w:spacing w:before="0" w:beforeAutospacing="0" w:after="0" w:afterAutospacing="0" w:line="580" w:lineRule="exact"/>
        <w:ind w:firstLine="643"/>
        <w:contextualSpacing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4"/>
        <w:snapToGrid/>
        <w:spacing w:before="0" w:beforeAutospacing="0" w:after="0" w:afterAutospacing="0" w:line="580" w:lineRule="exact"/>
        <w:ind w:firstLine="723"/>
        <w:contextualSpacing/>
        <w:jc w:val="center"/>
        <w:rPr>
          <w:rFonts w:ascii="Times New Roman" w:hAnsi="Times New Roman" w:eastAsia="黑体" w:cs="Times New Roman"/>
        </w:rPr>
      </w:pPr>
      <w:r>
        <w:rPr>
          <w:rFonts w:ascii="Times New Roman" w:hAnsi="黑体" w:eastAsia="黑体" w:cs="Times New Roman"/>
        </w:rPr>
        <w:t>第二部分</w:t>
      </w:r>
      <w:r>
        <w:rPr>
          <w:rFonts w:ascii="Times New Roman" w:hAnsi="Times New Roman" w:eastAsia="黑体" w:cs="Times New Roman"/>
        </w:rPr>
        <w:t xml:space="preserve">  2024</w:t>
      </w:r>
      <w:r>
        <w:rPr>
          <w:rFonts w:ascii="Times New Roman" w:hAnsi="黑体" w:eastAsia="黑体" w:cs="Times New Roman"/>
        </w:rPr>
        <w:t>年单位预算表</w:t>
      </w:r>
    </w:p>
    <w:p>
      <w:pPr>
        <w:pStyle w:val="4"/>
        <w:snapToGrid/>
        <w:spacing w:before="0" w:beforeAutospacing="0" w:after="0" w:afterAutospacing="0" w:line="580" w:lineRule="exact"/>
        <w:ind w:firstLine="643"/>
        <w:contextualSpacing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见附件</w:t>
      </w:r>
      <w:r>
        <w:rPr>
          <w:rFonts w:ascii="Times New Roman" w:hAnsi="Times New Roman" w:eastAsia="黑体" w:cs="Times New Roman"/>
          <w:sz w:val="32"/>
          <w:szCs w:val="32"/>
        </w:rPr>
        <w:t>1-2</w:t>
      </w:r>
    </w:p>
    <w:p>
      <w:pPr>
        <w:spacing w:line="580" w:lineRule="exact"/>
        <w:contextualSpacing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       </w:t>
      </w:r>
    </w:p>
    <w:p>
      <w:pPr>
        <w:pStyle w:val="4"/>
        <w:snapToGrid/>
        <w:spacing w:before="0" w:beforeAutospacing="0" w:after="0" w:afterAutospacing="0" w:line="580" w:lineRule="exact"/>
        <w:ind w:firstLine="723"/>
        <w:contextualSpacing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黑体" w:eastAsia="黑体" w:cs="Times New Roman"/>
        </w:rPr>
        <w:t>第三部分</w:t>
      </w:r>
      <w:r>
        <w:rPr>
          <w:rFonts w:ascii="Times New Roman" w:hAnsi="Times New Roman" w:eastAsia="黑体" w:cs="Times New Roman"/>
        </w:rPr>
        <w:t xml:space="preserve">  2024</w:t>
      </w:r>
      <w:r>
        <w:rPr>
          <w:rFonts w:ascii="Times New Roman" w:hAnsi="黑体" w:eastAsia="黑体" w:cs="Times New Roman"/>
        </w:rPr>
        <w:t>年单位预算情况说明</w:t>
      </w:r>
      <w:bookmarkStart w:id="0" w:name="_GoBack"/>
      <w:bookmarkEnd w:id="0"/>
    </w:p>
    <w:p>
      <w:pPr>
        <w:pStyle w:val="4"/>
        <w:snapToGrid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一、关于</w:t>
      </w:r>
      <w:r>
        <w:rPr>
          <w:rFonts w:ascii="Times New Roman" w:hAnsi="Times New Roman" w:eastAsia="黑体" w:cs="Times New Roman"/>
          <w:sz w:val="32"/>
          <w:szCs w:val="32"/>
        </w:rPr>
        <w:t>2024</w:t>
      </w:r>
      <w:r>
        <w:rPr>
          <w:rFonts w:ascii="Times New Roman" w:hAnsi="黑体" w:eastAsia="黑体" w:cs="Times New Roman"/>
          <w:sz w:val="32"/>
          <w:szCs w:val="32"/>
        </w:rPr>
        <w:t>年收支总表的说明</w:t>
      </w:r>
    </w:p>
    <w:p>
      <w:pPr>
        <w:pStyle w:val="4"/>
        <w:snapToGrid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按照综合预算的原则，淮北市科技活动交流中心所有收入和支出均纳入单位预算管理。淮北市科技活动交流中心2024年收支总预算78.52万元，收入包括一般公共预算拨款收入，支出包括：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科学技术支出、社会保障和就业支出、卫生健康支出、住房保障支出。</w:t>
      </w:r>
    </w:p>
    <w:p>
      <w:pPr>
        <w:pStyle w:val="4"/>
        <w:snapToGrid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二、关于</w:t>
      </w:r>
      <w:r>
        <w:rPr>
          <w:rFonts w:ascii="Times New Roman" w:hAnsi="Times New Roman" w:eastAsia="黑体" w:cs="Times New Roman"/>
          <w:sz w:val="32"/>
          <w:szCs w:val="32"/>
        </w:rPr>
        <w:t>2024</w:t>
      </w:r>
      <w:r>
        <w:rPr>
          <w:rFonts w:ascii="Times New Roman" w:hAnsi="黑体" w:eastAsia="黑体" w:cs="Times New Roman"/>
          <w:sz w:val="32"/>
          <w:szCs w:val="32"/>
        </w:rPr>
        <w:t>年收入总表的说明</w:t>
      </w:r>
    </w:p>
    <w:p>
      <w:pPr>
        <w:spacing w:line="580" w:lineRule="exact"/>
        <w:ind w:firstLine="640" w:firstLineChars="200"/>
        <w:contextualSpacing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淮北市科技活动交流中心2024年收入预算78.52万元，其中，本年收入78.52万元。</w:t>
      </w:r>
    </w:p>
    <w:p>
      <w:pPr>
        <w:spacing w:line="580" w:lineRule="exact"/>
        <w:ind w:firstLine="643" w:firstLineChars="200"/>
        <w:contextualSpacing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（一）本年收入78.52万元，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主要包括：一般公共预算拨款收入78.52万元，占100%，比2023年预增加4.35万元，增长5.9%，原因主要是政策性增资。</w:t>
      </w:r>
      <w:r>
        <w:rPr>
          <w:rFonts w:hint="eastAsia" w:ascii="TimesNewRoman" w:hAnsi="TimesNewRoman" w:eastAsia="仿宋_GB2312" w:cs="TimesNewRoman"/>
          <w:sz w:val="32"/>
          <w:szCs w:val="32"/>
        </w:rPr>
        <w:t>政府性基金预算拨款收入0万元，占0%，比2023年预算增加0万元，增长0%，原因主要是与上年安排无变化；财政专户管理资金收入0万元，占0%，比2023年预算增加0万元，增长0%，原因主要是与上年安排无变化。</w:t>
      </w:r>
    </w:p>
    <w:p>
      <w:pPr>
        <w:pStyle w:val="4"/>
        <w:snapToGrid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三、关于</w:t>
      </w:r>
      <w:r>
        <w:rPr>
          <w:rFonts w:ascii="Times New Roman" w:hAnsi="Times New Roman" w:eastAsia="黑体" w:cs="Times New Roman"/>
          <w:sz w:val="32"/>
          <w:szCs w:val="32"/>
        </w:rPr>
        <w:t>2024</w:t>
      </w:r>
      <w:r>
        <w:rPr>
          <w:rFonts w:ascii="Times New Roman" w:hAnsi="黑体" w:eastAsia="黑体" w:cs="Times New Roman"/>
          <w:sz w:val="32"/>
          <w:szCs w:val="32"/>
        </w:rPr>
        <w:t>年支出总表的说明</w:t>
      </w:r>
    </w:p>
    <w:p>
      <w:pPr>
        <w:spacing w:line="580" w:lineRule="exact"/>
        <w:ind w:firstLine="640" w:firstLineChars="200"/>
        <w:contextualSpacing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淮北市科技活动交流中心2024年支出预算78.52万元，比2023年预算增加4.35万元，增长5.9%，原因主要是政策性增资。其中，基本支出78.52万元，占100%，主要用于保障机构日常运转、完成日常工作任务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pStyle w:val="4"/>
        <w:snapToGrid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四、关于</w:t>
      </w:r>
      <w:r>
        <w:rPr>
          <w:rFonts w:ascii="Times New Roman" w:hAnsi="Times New Roman" w:eastAsia="黑体" w:cs="Times New Roman"/>
          <w:sz w:val="32"/>
          <w:szCs w:val="32"/>
        </w:rPr>
        <w:t>2024</w:t>
      </w:r>
      <w:r>
        <w:rPr>
          <w:rFonts w:ascii="Times New Roman" w:hAnsi="黑体" w:eastAsia="黑体" w:cs="Times New Roman"/>
          <w:sz w:val="32"/>
          <w:szCs w:val="32"/>
        </w:rPr>
        <w:t>年财政拨款收支总表的说明</w:t>
      </w:r>
    </w:p>
    <w:p>
      <w:pPr>
        <w:spacing w:line="580" w:lineRule="exact"/>
        <w:ind w:firstLine="640" w:firstLineChars="200"/>
        <w:contextualSpacing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淮北市科技活动交流中心2024年财政拨款收支预算78.52万元。收入按资金来源分为：一般公共预算拨款78.52万元；按资金年度分为：本年财政拨款收入78.52万元。支出按功能分类分为：</w:t>
      </w:r>
      <w:r>
        <w:rPr>
          <w:rFonts w:ascii="Times New Roman" w:hAnsi="Times New Roman" w:eastAsia="仿宋_GB2312" w:cs="Times New Roman"/>
          <w:sz w:val="32"/>
          <w:szCs w:val="32"/>
        </w:rPr>
        <w:t>科学技术支出52.23万元，占66.5%；社会保障和就业支出11.46万元，占14.6%；卫生健康支出2.81万元，占3.6%；住房保障支出12.01万元，占15.3%。</w:t>
      </w:r>
    </w:p>
    <w:p>
      <w:pPr>
        <w:pStyle w:val="4"/>
        <w:snapToGrid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五、关于</w:t>
      </w:r>
      <w:r>
        <w:rPr>
          <w:rFonts w:ascii="Times New Roman" w:hAnsi="Times New Roman" w:eastAsia="黑体" w:cs="Times New Roman"/>
          <w:sz w:val="32"/>
          <w:szCs w:val="32"/>
        </w:rPr>
        <w:t>2024</w:t>
      </w:r>
      <w:r>
        <w:rPr>
          <w:rFonts w:ascii="Times New Roman" w:hAnsi="黑体" w:eastAsia="黑体" w:cs="Times New Roman"/>
          <w:sz w:val="32"/>
          <w:szCs w:val="32"/>
        </w:rPr>
        <w:t>年一般公共预算支出表的说明</w:t>
      </w:r>
    </w:p>
    <w:p>
      <w:pPr>
        <w:pStyle w:val="4"/>
        <w:snapToGrid/>
        <w:spacing w:before="0" w:beforeAutospacing="0" w:after="0" w:afterAutospacing="0" w:line="580" w:lineRule="exact"/>
        <w:ind w:firstLine="643" w:firstLineChars="200"/>
        <w:contextualSpacing/>
        <w:jc w:val="both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（一）一般公共预算支出规模变化情况</w:t>
      </w:r>
    </w:p>
    <w:p>
      <w:pPr>
        <w:spacing w:line="580" w:lineRule="exact"/>
        <w:ind w:firstLine="640" w:firstLineChars="200"/>
        <w:contextualSpacing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淮北市科技活动交流中心2024年一般公共预算支出78.52万元，比2023年预算增加4.35万元，增长5.9%，原因主要是政策性增资。</w:t>
      </w:r>
    </w:p>
    <w:p>
      <w:pPr>
        <w:pStyle w:val="4"/>
        <w:snapToGrid/>
        <w:spacing w:before="0" w:beforeAutospacing="0" w:after="0" w:afterAutospacing="0" w:line="580" w:lineRule="exact"/>
        <w:ind w:firstLine="643" w:firstLineChars="200"/>
        <w:contextualSpacing/>
        <w:jc w:val="both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（二）一般公共预算支出结构情况</w:t>
      </w:r>
    </w:p>
    <w:p>
      <w:pPr>
        <w:spacing w:line="580" w:lineRule="exact"/>
        <w:ind w:firstLine="640" w:firstLineChars="200"/>
        <w:contextualSpacing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科学技术支出52.23万元，占66.5%；社会保障和就业支出11.46万元，占14.6%；卫生健康支出2.81万元，占3.6%；住房保障支出12.01万元，占15.3%。</w:t>
      </w:r>
    </w:p>
    <w:p>
      <w:pPr>
        <w:pStyle w:val="4"/>
        <w:snapToGrid/>
        <w:spacing w:before="0" w:beforeAutospacing="0" w:after="0" w:afterAutospacing="0" w:line="580" w:lineRule="exact"/>
        <w:ind w:firstLine="643" w:firstLineChars="200"/>
        <w:contextualSpacing/>
        <w:jc w:val="both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（三）一般公共预算支出具体使用情况</w:t>
      </w:r>
    </w:p>
    <w:p>
      <w:pPr>
        <w:pStyle w:val="4"/>
        <w:snapToGrid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1、科学技术支出（类）科学交流与合作（款）其他科技交流与合作支出（项）2024年预算52.23万元，比2023年预算增加1.18万元，增长2.3%，原因主要是政策性增资人员经费增加。 </w:t>
      </w:r>
    </w:p>
    <w:p>
      <w:pPr>
        <w:pStyle w:val="4"/>
        <w:snapToGrid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2、社会保障和就业支出（类）行政事业单位养老支出（款）机关事业单位基本养老保险缴费支出（项）2024年预算7.45万元，比2023年预算增加0.59万元，增长8.6%，原因主要是政策性增资人员经费增加。</w:t>
      </w:r>
    </w:p>
    <w:p>
      <w:pPr>
        <w:pStyle w:val="4"/>
        <w:snapToGrid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3、社会保障和就业支出（类）行政事业单位养老支出（款）机关事业单位职业年金缴费支出（项）2024年预算3.72万元，比2023年预算增加0.29万元，增长8.5%，原因主要是人员经费增加。</w:t>
      </w:r>
    </w:p>
    <w:p>
      <w:pPr>
        <w:pStyle w:val="4"/>
        <w:snapToGrid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4、社会保障和就业支出（类）其他社会保障和就业支出（款）其他社会保障和就业支出（项）2024年预算0.29万元，比2023年预算增加0.06万元，增长26.1%，原因主要是政策性增资人员经费增加。</w:t>
      </w:r>
    </w:p>
    <w:p>
      <w:pPr>
        <w:pStyle w:val="4"/>
        <w:snapToGrid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5、卫生健康支出（类）行政事业单位医疗（款）事业单位医疗（项）2024年预算2.81万元，比2023年预算减少0.02万元，下降0.7%，原因主要是上年预留政策性增资。</w:t>
      </w:r>
    </w:p>
    <w:p>
      <w:pPr>
        <w:pStyle w:val="4"/>
        <w:snapToGrid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6、住房保障支出（类）住房改革支出（款）住房公积金（项）2024年预算7.21万元，比2023年预算增加0.31万元，增长4.5%，原因主要是政策性增资人员经费增加。</w:t>
      </w:r>
    </w:p>
    <w:p>
      <w:pPr>
        <w:pStyle w:val="4"/>
        <w:snapToGrid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7、住房保障支出（类）住房改革支出（款）提租补贴（项）</w:t>
      </w:r>
    </w:p>
    <w:p>
      <w:pPr>
        <w:pStyle w:val="4"/>
        <w:snapToGrid/>
        <w:spacing w:before="0" w:beforeAutospacing="0" w:after="0" w:afterAutospacing="0" w:line="580" w:lineRule="exact"/>
        <w:ind w:firstLine="643"/>
        <w:contextualSpacing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2024年预算1.8万元，比2023年预算增长1.8万元，原因主要是新增提租补贴。</w:t>
      </w:r>
    </w:p>
    <w:p>
      <w:pPr>
        <w:pStyle w:val="4"/>
        <w:snapToGrid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8、住房保障支出（类）住房改革支出（款）购房补贴（项）</w:t>
      </w:r>
    </w:p>
    <w:p>
      <w:pPr>
        <w:pStyle w:val="4"/>
        <w:snapToGrid/>
        <w:spacing w:before="0" w:beforeAutospacing="0" w:after="0" w:afterAutospacing="0" w:line="580" w:lineRule="exact"/>
        <w:ind w:firstLine="643"/>
        <w:contextualSpacing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2024年预算3万元，比2023年预算增加0.13万元，增长4.5%，原因主要是政策性增资人员经费增加。</w:t>
      </w:r>
    </w:p>
    <w:p>
      <w:pPr>
        <w:pStyle w:val="4"/>
        <w:snapToGrid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六、关于</w:t>
      </w:r>
      <w:r>
        <w:rPr>
          <w:rFonts w:ascii="Times New Roman" w:hAnsi="Times New Roman" w:eastAsia="黑体" w:cs="Times New Roman"/>
          <w:sz w:val="32"/>
          <w:szCs w:val="32"/>
        </w:rPr>
        <w:t>2024</w:t>
      </w:r>
      <w:r>
        <w:rPr>
          <w:rFonts w:ascii="Times New Roman" w:hAnsi="黑体" w:eastAsia="黑体" w:cs="Times New Roman"/>
          <w:sz w:val="32"/>
          <w:szCs w:val="32"/>
        </w:rPr>
        <w:t>年一般公共预算基本支出表的说明</w:t>
      </w:r>
    </w:p>
    <w:p>
      <w:pPr>
        <w:spacing w:line="580" w:lineRule="exact"/>
        <w:ind w:firstLine="640" w:firstLineChars="200"/>
        <w:contextualSpacing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淮北市科技活动交流中心2024年一般公共预算基本支出78.52万元，其中，人员经费73.72万元，公用经费4.8万元。</w:t>
      </w:r>
    </w:p>
    <w:p>
      <w:pPr>
        <w:spacing w:line="580" w:lineRule="exact"/>
        <w:ind w:firstLine="643" w:firstLineChars="200"/>
        <w:contextualSpacing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（一）人员经费73.72万元，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>主要包括:基本工资、津贴补贴、奖金、伙食补助费、绩效工资、机关事业单位基本养老保险费、职业年金缴费、职工基本医疗保险缴费、公务员医疗补助缴费、其他社会保障缴费、住房公积金、对其他个人和家庭的补助支出。</w:t>
      </w:r>
    </w:p>
    <w:p>
      <w:pPr>
        <w:spacing w:line="580" w:lineRule="exact"/>
        <w:ind w:firstLine="643" w:firstLineChars="200"/>
        <w:contextualSpacing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（二）公用经费4.8万元，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>主要包括：办公费、印刷费、手续费、水费、电费、邮电费、差旅费、培训费、劳务费、委托业务费、其他商品服务支出等。</w:t>
      </w:r>
    </w:p>
    <w:p>
      <w:pPr>
        <w:pStyle w:val="4"/>
        <w:snapToGrid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七、关于</w:t>
      </w:r>
      <w:r>
        <w:rPr>
          <w:rFonts w:ascii="Times New Roman" w:hAnsi="Times New Roman" w:eastAsia="黑体" w:cs="Times New Roman"/>
          <w:sz w:val="32"/>
          <w:szCs w:val="32"/>
        </w:rPr>
        <w:t>2024</w:t>
      </w:r>
      <w:r>
        <w:rPr>
          <w:rFonts w:ascii="Times New Roman" w:hAnsi="黑体" w:eastAsia="黑体" w:cs="Times New Roman"/>
          <w:sz w:val="32"/>
          <w:szCs w:val="32"/>
        </w:rPr>
        <w:t>年政府性基金预算支出表的说明</w:t>
      </w:r>
    </w:p>
    <w:p>
      <w:pPr>
        <w:spacing w:line="580" w:lineRule="exact"/>
        <w:ind w:firstLine="640" w:firstLineChars="200"/>
        <w:contextualSpacing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淮北市科技活动交流中心2024年没有政府性基金预算拨款收入，也没有使用政府性基金预算拨款安排的支出。</w:t>
      </w:r>
    </w:p>
    <w:p>
      <w:pPr>
        <w:pStyle w:val="4"/>
        <w:snapToGrid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八、关于</w:t>
      </w:r>
      <w:r>
        <w:rPr>
          <w:rFonts w:ascii="Times New Roman" w:hAnsi="Times New Roman" w:eastAsia="黑体" w:cs="Times New Roman"/>
          <w:sz w:val="32"/>
          <w:szCs w:val="32"/>
        </w:rPr>
        <w:t>2024</w:t>
      </w:r>
      <w:r>
        <w:rPr>
          <w:rFonts w:ascii="Times New Roman" w:hAnsi="黑体" w:eastAsia="黑体" w:cs="Times New Roman"/>
          <w:sz w:val="32"/>
          <w:szCs w:val="32"/>
        </w:rPr>
        <w:t>年国有资本经营预算支出表的说明</w:t>
      </w:r>
    </w:p>
    <w:p>
      <w:pPr>
        <w:spacing w:line="580" w:lineRule="exact"/>
        <w:ind w:firstLine="640" w:firstLineChars="200"/>
        <w:contextualSpacing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淮北市科技活动交流中心2024年没有国有资本经营预算拨款收入，也没有使用国有资本经营预算拨款安排的支出。</w:t>
      </w:r>
    </w:p>
    <w:p>
      <w:pPr>
        <w:pStyle w:val="4"/>
        <w:snapToGrid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九、关于</w:t>
      </w:r>
      <w:r>
        <w:rPr>
          <w:rFonts w:ascii="Times New Roman" w:hAnsi="Times New Roman" w:eastAsia="黑体" w:cs="Times New Roman"/>
          <w:sz w:val="32"/>
          <w:szCs w:val="32"/>
        </w:rPr>
        <w:t>2024</w:t>
      </w:r>
      <w:r>
        <w:rPr>
          <w:rFonts w:ascii="Times New Roman" w:hAnsi="黑体" w:eastAsia="黑体" w:cs="Times New Roman"/>
          <w:sz w:val="32"/>
          <w:szCs w:val="32"/>
        </w:rPr>
        <w:t>年项目支出表的说明</w:t>
      </w:r>
    </w:p>
    <w:p>
      <w:pPr>
        <w:spacing w:line="580" w:lineRule="exact"/>
        <w:ind w:firstLine="640" w:firstLineChars="200"/>
        <w:contextualSpacing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淮北市科技活动交流中心2024年没有使用一般公共预算拨款、政府性基金预算拨款、国有资本经营预算拨款、财政专户管理资金和单位资金安排的项目支出。</w:t>
      </w:r>
    </w:p>
    <w:p>
      <w:pPr>
        <w:pStyle w:val="4"/>
        <w:snapToGrid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十、关于</w:t>
      </w:r>
      <w:r>
        <w:rPr>
          <w:rFonts w:ascii="Times New Roman" w:hAnsi="Times New Roman" w:eastAsia="黑体" w:cs="Times New Roman"/>
          <w:sz w:val="32"/>
          <w:szCs w:val="32"/>
        </w:rPr>
        <w:t>2024</w:t>
      </w:r>
      <w:r>
        <w:rPr>
          <w:rFonts w:ascii="Times New Roman" w:hAnsi="黑体" w:eastAsia="黑体" w:cs="Times New Roman"/>
          <w:sz w:val="32"/>
          <w:szCs w:val="32"/>
        </w:rPr>
        <w:t>年政府采购支出表的说明</w:t>
      </w:r>
    </w:p>
    <w:p>
      <w:pPr>
        <w:pStyle w:val="4"/>
        <w:snapToGrid/>
        <w:spacing w:before="0" w:beforeAutospacing="0" w:after="0" w:afterAutospacing="0" w:line="580" w:lineRule="exact"/>
        <w:ind w:firstLine="643"/>
        <w:contextualSpacing/>
        <w:jc w:val="both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淮北市科技活动交流中心2024年没有政府性基金预算拨款收入，也没有使用政府性基金预算拨款安排的支出。</w:t>
      </w:r>
    </w:p>
    <w:p>
      <w:pPr>
        <w:pStyle w:val="4"/>
        <w:snapToGrid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十一、关于</w:t>
      </w:r>
      <w:r>
        <w:rPr>
          <w:rFonts w:ascii="Times New Roman" w:hAnsi="Times New Roman" w:eastAsia="黑体" w:cs="Times New Roman"/>
          <w:sz w:val="32"/>
          <w:szCs w:val="32"/>
        </w:rPr>
        <w:t>2024</w:t>
      </w:r>
      <w:r>
        <w:rPr>
          <w:rFonts w:ascii="Times New Roman" w:hAnsi="黑体" w:eastAsia="黑体" w:cs="Times New Roman"/>
          <w:sz w:val="32"/>
          <w:szCs w:val="32"/>
        </w:rPr>
        <w:t>年政府购买服务支出表的说明</w:t>
      </w:r>
    </w:p>
    <w:p>
      <w:pPr>
        <w:spacing w:line="580" w:lineRule="exact"/>
        <w:ind w:firstLine="640" w:firstLineChars="200"/>
        <w:contextualSpacing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淮北市科技活动交流中心2024年没有安排政府购买服务支出。</w:t>
      </w:r>
    </w:p>
    <w:p>
      <w:pPr>
        <w:pStyle w:val="4"/>
        <w:snapToGrid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十二、其他重要事项情况说明</w:t>
      </w:r>
    </w:p>
    <w:p>
      <w:pPr>
        <w:adjustRightInd w:val="0"/>
        <w:snapToGrid w:val="0"/>
        <w:spacing w:line="580" w:lineRule="exact"/>
        <w:ind w:firstLine="643" w:firstLineChars="200"/>
        <w:contextualSpacing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（一）项目及绩效目标情况</w:t>
      </w:r>
    </w:p>
    <w:p>
      <w:pPr>
        <w:spacing w:line="580" w:lineRule="exact"/>
        <w:ind w:firstLine="640" w:firstLineChars="200"/>
        <w:contextualSpacing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淮北市科技活动交流中心无项目支出。</w:t>
      </w:r>
    </w:p>
    <w:p>
      <w:pPr>
        <w:adjustRightInd w:val="0"/>
        <w:snapToGrid w:val="0"/>
        <w:spacing w:line="580" w:lineRule="exact"/>
        <w:ind w:firstLine="643" w:firstLineChars="200"/>
        <w:contextualSpacing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（二）机关运行经费</w:t>
      </w:r>
    </w:p>
    <w:p>
      <w:pPr>
        <w:spacing w:line="580" w:lineRule="exact"/>
        <w:ind w:firstLine="640" w:firstLineChars="200"/>
        <w:contextualSpacing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淮北市科技活动交流中心为非参照公务员法管理的事业单位，按照部门预算机关运行经费口径，2024年无机关运行经费财政拨款预算。</w:t>
      </w:r>
    </w:p>
    <w:p>
      <w:pPr>
        <w:adjustRightInd w:val="0"/>
        <w:snapToGrid w:val="0"/>
        <w:spacing w:line="580" w:lineRule="exact"/>
        <w:ind w:firstLine="643" w:firstLineChars="200"/>
        <w:contextualSpacing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（三）政府采购情况</w:t>
      </w:r>
    </w:p>
    <w:p>
      <w:pPr>
        <w:spacing w:line="580" w:lineRule="exact"/>
        <w:ind w:firstLine="640" w:firstLineChars="200"/>
        <w:contextualSpacing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淮北市科技活动交流中心2024年政府采购预算0万元。其中：政府采购货物预算0万元，政府采购工程预算0万元，政府采购服务预算0万元。</w:t>
      </w:r>
    </w:p>
    <w:p>
      <w:pPr>
        <w:adjustRightInd w:val="0"/>
        <w:snapToGrid w:val="0"/>
        <w:spacing w:line="580" w:lineRule="exact"/>
        <w:ind w:firstLine="643" w:firstLineChars="200"/>
        <w:contextualSpacing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（四）国有资产占有使用情况</w:t>
      </w:r>
    </w:p>
    <w:p>
      <w:pPr>
        <w:spacing w:line="580" w:lineRule="exact"/>
        <w:ind w:firstLine="640" w:firstLineChars="200"/>
        <w:contextualSpacing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截至2023年12月31日，淮北市科技活动交流中心共有车辆0辆，单价50万元以上的通用设备0台（套），单价100万元以上的专用设备0台（套）。</w:t>
      </w:r>
    </w:p>
    <w:p>
      <w:pPr>
        <w:spacing w:line="580" w:lineRule="exact"/>
        <w:ind w:firstLine="640" w:firstLineChars="200"/>
        <w:contextualSpacing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2024年单位预算安排购置公务用车0辆，购置费0万元，安排购置单价50万元以上的通用设备0台（套），购置费0万元；安排购置单价100万元以上专用设备0台（套），购置费0万元。</w:t>
      </w:r>
    </w:p>
    <w:p>
      <w:pPr>
        <w:adjustRightInd w:val="0"/>
        <w:snapToGrid w:val="0"/>
        <w:spacing w:line="580" w:lineRule="exact"/>
        <w:ind w:firstLine="643" w:firstLineChars="200"/>
        <w:contextualSpacing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ascii="楷体_GB2312" w:hAnsi="Times New Roman" w:eastAsia="楷体_GB2312" w:cs="Times New Roman"/>
          <w:b/>
          <w:sz w:val="32"/>
          <w:szCs w:val="32"/>
        </w:rPr>
        <w:t>（五）绩效目标设置情况</w:t>
      </w:r>
    </w:p>
    <w:p>
      <w:pPr>
        <w:spacing w:line="580" w:lineRule="exact"/>
        <w:ind w:firstLine="640" w:firstLineChars="200"/>
        <w:contextualSpacing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2024年，淮北市科技活动交流中心无项目支出，0个项目实行了绩效目标管理，涉及一般公共预算当年财政拨款0万元、政府性基金预算当年财政拨款0万元、财政专户管理资金当年安排0万元。</w:t>
      </w:r>
    </w:p>
    <w:p>
      <w:pPr>
        <w:pStyle w:val="4"/>
        <w:spacing w:before="0" w:beforeAutospacing="0" w:after="0" w:afterAutospacing="0" w:line="580" w:lineRule="exact"/>
        <w:ind w:firstLine="723"/>
        <w:contextualSpacing/>
        <w:jc w:val="center"/>
        <w:rPr>
          <w:rFonts w:ascii="Times New Roman" w:hAnsi="Times New Roman" w:eastAsia="黑体" w:cs="Times New Roman"/>
        </w:rPr>
      </w:pPr>
      <w:r>
        <w:rPr>
          <w:rFonts w:ascii="Times New Roman" w:hAnsi="黑体" w:eastAsia="黑体" w:cs="Times New Roman"/>
        </w:rPr>
        <w:t>第四部分</w:t>
      </w:r>
      <w:r>
        <w:rPr>
          <w:rFonts w:ascii="Times New Roman" w:hAnsi="Times New Roman" w:eastAsia="黑体" w:cs="Times New Roman"/>
        </w:rPr>
        <w:t xml:space="preserve">  </w:t>
      </w:r>
      <w:r>
        <w:rPr>
          <w:rFonts w:ascii="Times New Roman" w:hAnsi="黑体" w:eastAsia="黑体" w:cs="Times New Roman"/>
        </w:rPr>
        <w:t>名词解释</w:t>
      </w:r>
    </w:p>
    <w:p>
      <w:pPr>
        <w:spacing w:line="580" w:lineRule="exact"/>
        <w:contextualSpacing/>
        <w:rPr>
          <w:rFonts w:ascii="Times New Roman" w:hAnsi="Times New Roman" w:eastAsia="仿宋_GB2312" w:cs="Times New Roman"/>
        </w:rPr>
      </w:pPr>
    </w:p>
    <w:p>
      <w:pPr>
        <w:pStyle w:val="4"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一、财政拨款收入</w:t>
      </w:r>
    </w:p>
    <w:p>
      <w:pPr>
        <w:pStyle w:val="4"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指部门或单位从同级财政部门取得的财政预算资金。</w:t>
      </w:r>
    </w:p>
    <w:p>
      <w:pPr>
        <w:pStyle w:val="4"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二、基本支出</w:t>
      </w:r>
    </w:p>
    <w:p>
      <w:pPr>
        <w:pStyle w:val="4"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指为保障机构正常运转、完成日常工作任务而发生的人员支出和公用支出。</w:t>
      </w:r>
    </w:p>
    <w:p>
      <w:pPr>
        <w:pStyle w:val="4"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三、项目支出</w:t>
      </w:r>
    </w:p>
    <w:p>
      <w:pPr>
        <w:pStyle w:val="4"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指在除基本支出之外的支出，主要用于完成特定的工作任务和事业发展目标。</w:t>
      </w:r>
    </w:p>
    <w:p>
      <w:pPr>
        <w:pStyle w:val="4"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四、机关运行经费</w:t>
      </w:r>
    </w:p>
    <w:p>
      <w:pPr>
        <w:pStyle w:val="4"/>
        <w:spacing w:before="0" w:beforeAutospacing="0" w:after="0" w:afterAutospacing="0" w:line="580" w:lineRule="exact"/>
        <w:ind w:firstLine="640" w:firstLineChars="200"/>
        <w:contextualSpacing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保障行政单位（包括参照公务员法管理的事业单位）运行用于购买货物和服务的各项资金，包括办公及印刷费、邮电费、差旅费、会议费、福利费、日常维修费、一般设备购置费、办公用房水电费、办公用房取暖费、办公用房物业管理费、公务用车运行维护费以及其他费用。</w:t>
      </w:r>
    </w:p>
    <w:p>
      <w:pPr>
        <w:spacing w:line="580" w:lineRule="exact"/>
        <w:contextualSpacing/>
        <w:rPr>
          <w:rFonts w:ascii="Times New Roman" w:hAnsi="Times New Roman" w:eastAsia="仿宋_GB2312" w:cs="Times New Roman"/>
        </w:rPr>
      </w:pPr>
    </w:p>
    <w:p>
      <w:pPr>
        <w:spacing w:line="580" w:lineRule="exact"/>
        <w:contextualSpacing/>
        <w:rPr>
          <w:rFonts w:ascii="Times New Roman" w:hAnsi="Times New Roman" w:eastAsia="仿宋_GB2312" w:cs="Times New Roman"/>
        </w:rPr>
      </w:pPr>
    </w:p>
    <w:p>
      <w:pPr>
        <w:spacing w:line="580" w:lineRule="exact"/>
        <w:contextualSpacing/>
        <w:rPr>
          <w:rFonts w:ascii="Times New Roman" w:hAnsi="Times New Roman" w:eastAsia="仿宋_GB2312" w:cs="Times New Roman"/>
        </w:rPr>
      </w:pPr>
    </w:p>
    <w:sectPr>
      <w:footerReference r:id="rId7" w:type="default"/>
      <w:footerReference r:id="rId8" w:type="even"/>
      <w:pgSz w:w="11906" w:h="16838"/>
      <w:pgMar w:top="1701" w:right="1418" w:bottom="1418" w:left="170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">
    <w:altName w:val="Arial"/>
    <w:panose1 w:val="00000000000000000000"/>
    <w:charset w:val="00"/>
    <w:family w:val="auto"/>
    <w:pitch w:val="default"/>
    <w:sig w:usb0="00000000" w:usb1="00000000" w:usb2="00000029" w:usb3="00000000" w:csb0="6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80224"/>
      <w:docPartObj>
        <w:docPartGallery w:val="AutoText"/>
      </w:docPartObj>
    </w:sdtPr>
    <w:sdtContent>
      <w:p>
        <w:pPr>
          <w:pStyle w:val="2"/>
          <w:ind w:right="36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80226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/>
            <w:sz w:val="24"/>
            <w:szCs w:val="24"/>
          </w:rPr>
          <w:t xml:space="preserve"> 1 -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80225"/>
      <w:docPartObj>
        <w:docPartGallery w:val="AutoText"/>
      </w:docPartObj>
    </w:sdtPr>
    <w:sdtContent>
      <w:p>
        <w:pPr>
          <w:pStyle w:val="2"/>
          <w:ind w:right="360"/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/>
            <w:sz w:val="24"/>
            <w:szCs w:val="24"/>
          </w:rPr>
          <w:t xml:space="preserve"> 2 -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80167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/>
            <w:sz w:val="24"/>
            <w:szCs w:val="24"/>
          </w:rPr>
          <w:t xml:space="preserve"> 1 -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80170"/>
      <w:docPartObj>
        <w:docPartGallery w:val="AutoText"/>
      </w:docPartObj>
    </w:sdtPr>
    <w:sdtContent>
      <w:p>
        <w:pPr>
          <w:pStyle w:val="2"/>
          <w:ind w:right="360"/>
        </w:pPr>
        <w:r>
          <w:rPr>
            <w:rFonts w:cs="Times New Roman" w:asciiTheme="minorEastAsia" w:hAnsiTheme="minorEastAsia"/>
            <w:sz w:val="24"/>
            <w:szCs w:val="24"/>
          </w:rPr>
          <w:fldChar w:fldCharType="begin"/>
        </w:r>
        <w:r>
          <w:rPr>
            <w:rFonts w:cs="Times New Roman" w:ascii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cs="Times New Roman" w:asciiTheme="minorEastAsia" w:hAnsiTheme="minorEastAsia"/>
            <w:sz w:val="24"/>
            <w:szCs w:val="24"/>
          </w:rPr>
          <w:fldChar w:fldCharType="separate"/>
        </w:r>
        <w:r>
          <w:rPr>
            <w:rFonts w:cs="Times New Roman" w:asciiTheme="minorEastAsia" w:hAnsiTheme="minorEastAsia"/>
            <w:sz w:val="24"/>
            <w:szCs w:val="24"/>
            <w:lang w:val="zh-CN"/>
          </w:rPr>
          <w:t>-</w:t>
        </w:r>
        <w:r>
          <w:rPr>
            <w:rFonts w:cs="Times New Roman" w:asciiTheme="minorEastAsia" w:hAnsiTheme="minorEastAsia"/>
            <w:sz w:val="24"/>
            <w:szCs w:val="24"/>
          </w:rPr>
          <w:t xml:space="preserve"> 2 -</w:t>
        </w:r>
        <w:r>
          <w:rPr>
            <w:rFonts w:cs="Times New Roman" w:asciiTheme="minorEastAsia" w:hAnsiTheme="minorEastAsia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mNDdiMTViZTI2ZTc5NTM5Yjg1NzVmNDRiYmZmOGQifQ=="/>
  </w:docVars>
  <w:rsids>
    <w:rsidRoot w:val="00E907C4"/>
    <w:rsid w:val="000E233D"/>
    <w:rsid w:val="000E28EE"/>
    <w:rsid w:val="000F36E5"/>
    <w:rsid w:val="00122DB0"/>
    <w:rsid w:val="001E620B"/>
    <w:rsid w:val="00216051"/>
    <w:rsid w:val="00245EEE"/>
    <w:rsid w:val="00262F1C"/>
    <w:rsid w:val="00267E33"/>
    <w:rsid w:val="002775F3"/>
    <w:rsid w:val="002C1349"/>
    <w:rsid w:val="002F13F3"/>
    <w:rsid w:val="0043571D"/>
    <w:rsid w:val="004A4DC6"/>
    <w:rsid w:val="004B0FE6"/>
    <w:rsid w:val="0054710C"/>
    <w:rsid w:val="00565CDD"/>
    <w:rsid w:val="0056779F"/>
    <w:rsid w:val="0057562B"/>
    <w:rsid w:val="005A44E1"/>
    <w:rsid w:val="005B1723"/>
    <w:rsid w:val="006546AF"/>
    <w:rsid w:val="00711690"/>
    <w:rsid w:val="00726D96"/>
    <w:rsid w:val="00775094"/>
    <w:rsid w:val="007D7F00"/>
    <w:rsid w:val="008A1560"/>
    <w:rsid w:val="008F14C3"/>
    <w:rsid w:val="008F6D1A"/>
    <w:rsid w:val="00920001"/>
    <w:rsid w:val="009A3CA3"/>
    <w:rsid w:val="009D4A68"/>
    <w:rsid w:val="00AE3242"/>
    <w:rsid w:val="00B004E6"/>
    <w:rsid w:val="00BD640A"/>
    <w:rsid w:val="00C16285"/>
    <w:rsid w:val="00D40290"/>
    <w:rsid w:val="00DB2A5C"/>
    <w:rsid w:val="00E907C4"/>
    <w:rsid w:val="00EC7755"/>
    <w:rsid w:val="00EE1151"/>
    <w:rsid w:val="00F24B2F"/>
    <w:rsid w:val="00F6396E"/>
    <w:rsid w:val="00F974AD"/>
    <w:rsid w:val="106B4B1A"/>
    <w:rsid w:val="18563CA4"/>
    <w:rsid w:val="19B57BD9"/>
    <w:rsid w:val="2A1714EC"/>
    <w:rsid w:val="2B0C0DC5"/>
    <w:rsid w:val="410A222B"/>
    <w:rsid w:val="44265A36"/>
    <w:rsid w:val="503E2527"/>
    <w:rsid w:val="7C28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adjustRightInd w:val="0"/>
      <w:snapToGrid w:val="0"/>
      <w:spacing w:before="100" w:beforeAutospacing="1" w:after="100" w:afterAutospacing="1" w:line="560" w:lineRule="exact"/>
      <w:jc w:val="left"/>
    </w:pPr>
    <w:rPr>
      <w:rFonts w:ascii="宋体" w:hAnsi="宋体" w:eastAsia="宋体" w:cs="宋体"/>
      <w:kern w:val="0"/>
      <w:sz w:val="36"/>
      <w:szCs w:val="36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character" w:customStyle="1" w:styleId="9">
    <w:name w:val="font71"/>
    <w:basedOn w:val="6"/>
    <w:qFormat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630</Words>
  <Characters>3595</Characters>
  <Lines>29</Lines>
  <Paragraphs>8</Paragraphs>
  <TotalTime>66</TotalTime>
  <ScaleCrop>false</ScaleCrop>
  <LinksUpToDate>false</LinksUpToDate>
  <CharactersWithSpaces>4217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2023-01-30T01:51:00Z</dcterms:created>
  <dc:creator>lenovo</dc:creator>
  <cp:lastModifiedBy>Administrator</cp:lastModifiedBy>
  <dcterms:modified xsi:type="dcterms:W3CDTF">2024-12-16T03:22:28Z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BB068F27E4A4473A99FBC704E1CFFFAB_12</vt:lpwstr>
  </property>
</Properties>
</file>